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C81EFCB"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w:t>
      </w:r>
      <w:r w:rsidR="00A504D2">
        <w:rPr>
          <w:rFonts w:ascii="Arial" w:eastAsiaTheme="minorEastAsia" w:hAnsi="Arial" w:cs="Arial"/>
          <w:b/>
          <w:sz w:val="24"/>
          <w:szCs w:val="24"/>
          <w:lang w:eastAsia="zh-CN"/>
        </w:rPr>
        <w:t>3810</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26A32C05"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504D2" w:rsidRPr="00A504D2">
        <w:rPr>
          <w:rFonts w:ascii="Arial" w:hAnsi="Arial" w:cs="Arial"/>
          <w:bCs/>
          <w:sz w:val="22"/>
        </w:rPr>
        <w:t>Feasibility of LB switching FDD+SDL example combinations</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20686D80"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A504D2" w:rsidRPr="00A504D2">
        <w:rPr>
          <w:rFonts w:ascii="Arial" w:hAnsi="Arial" w:cs="Arial"/>
          <w:bCs/>
          <w:sz w:val="22"/>
        </w:rPr>
        <w:t>7.8.3</w:t>
      </w:r>
      <w:r w:rsidR="00A504D2" w:rsidRPr="00A504D2">
        <w:rPr>
          <w:rFonts w:ascii="Arial" w:hAnsi="Arial" w:cs="Arial"/>
          <w:bCs/>
          <w:sz w:val="22"/>
        </w:rPr>
        <w:tab/>
        <w:t>UE RF requirements</w:t>
      </w:r>
      <w:r w:rsidR="00A504D2">
        <w:rPr>
          <w:rFonts w:ascii="Arial" w:hAnsi="Arial" w:cs="Arial"/>
          <w:bCs/>
          <w:sz w:val="22"/>
        </w:rPr>
        <w:t xml:space="preserve"> </w:t>
      </w:r>
      <w:r w:rsidR="00A504D2" w:rsidRPr="00A504D2">
        <w:rPr>
          <w:rFonts w:ascii="Arial" w:hAnsi="Arial" w:cs="Arial"/>
          <w:bCs/>
          <w:sz w:val="22"/>
        </w:rPr>
        <w:t>[</w:t>
      </w:r>
      <w:proofErr w:type="spellStart"/>
      <w:r w:rsidR="00A504D2" w:rsidRPr="00A504D2">
        <w:rPr>
          <w:rFonts w:ascii="Arial" w:hAnsi="Arial" w:cs="Arial"/>
          <w:bCs/>
          <w:sz w:val="22"/>
        </w:rPr>
        <w:t>NR_LBCA_Sw_enh</w:t>
      </w:r>
      <w:proofErr w:type="spellEnd"/>
      <w:r w:rsidR="00A504D2" w:rsidRPr="00A504D2">
        <w:rPr>
          <w:rFonts w:ascii="Arial" w:hAnsi="Arial" w:cs="Arial"/>
          <w:bCs/>
          <w:sz w:val="22"/>
        </w:rPr>
        <w:t>-Core]</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AC62E79" w:rsidR="00F2750F" w:rsidRPr="00AB149D" w:rsidRDefault="00A504D2" w:rsidP="00A37ACD">
      <w:pPr>
        <w:spacing w:after="0"/>
      </w:pPr>
      <w:bookmarkStart w:id="2" w:name="_Hlk149936446"/>
      <w:bookmarkStart w:id="3" w:name="_Hlk165324434"/>
      <w:r w:rsidRPr="00A504D2">
        <w:t>In RAN#109 a new Release 20 WI on enhanced LBLB switching was agreed. In this contribution we discuss the feasibility of the RF front-end for the proposed example band combinations</w:t>
      </w:r>
      <w:r w:rsidR="00B9675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089D211F"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w:t>
      </w:r>
      <w:r w:rsidR="008722F8">
        <w:rPr>
          <w:rFonts w:eastAsia="Arial"/>
          <w:lang w:eastAsia="zh-CN"/>
        </w:rPr>
        <w:t>HPUE objectives</w:t>
      </w:r>
      <w:r w:rsidR="004B31DB">
        <w:rPr>
          <w:rFonts w:eastAsia="Arial"/>
          <w:lang w:eastAsia="zh-CN"/>
        </w:rPr>
        <w:t xml:space="preserve"> in R20 new WI: </w:t>
      </w:r>
      <w:r w:rsidR="004B31DB" w:rsidRPr="004B31DB">
        <w:rPr>
          <w:rFonts w:eastAsia="Arial"/>
          <w:lang w:eastAsia="zh-CN"/>
        </w:rPr>
        <w:t>UE RF enhancements for NR FR1</w:t>
      </w:r>
    </w:p>
    <w:p w14:paraId="5EF7A5D6" w14:textId="2CF1075A" w:rsidR="006A1C52" w:rsidRDefault="004B31DB" w:rsidP="004B31DB">
      <w:pPr>
        <w:rPr>
          <w:rFonts w:eastAsia="Arial"/>
          <w:lang w:eastAsia="zh-CN"/>
        </w:rPr>
      </w:pPr>
      <w:r>
        <w:rPr>
          <w:rFonts w:eastAsia="Arial"/>
          <w:lang w:eastAsia="zh-CN"/>
        </w:rPr>
        <w:t xml:space="preserve">The new Release 20 WI </w:t>
      </w:r>
      <w:r w:rsidR="00A504D2">
        <w:rPr>
          <w:rFonts w:eastAsia="Arial"/>
          <w:lang w:eastAsia="zh-CN"/>
        </w:rPr>
        <w:t>on LB switching</w:t>
      </w:r>
      <w:r w:rsidRPr="004B31DB">
        <w:rPr>
          <w:rFonts w:eastAsia="Arial"/>
          <w:lang w:eastAsia="zh-CN"/>
        </w:rPr>
        <w:t xml:space="preserve"> enhancements for NR FR1</w:t>
      </w:r>
      <w:r>
        <w:rPr>
          <w:rFonts w:eastAsia="Arial"/>
          <w:lang w:eastAsia="zh-CN"/>
        </w:rPr>
        <w:t xml:space="preserve"> </w:t>
      </w:r>
      <w:r w:rsidR="001219F6">
        <w:rPr>
          <w:rFonts w:eastAsia="Arial"/>
          <w:lang w:eastAsia="zh-CN"/>
        </w:rPr>
        <w:t xml:space="preserve">[1] </w:t>
      </w:r>
      <w:r w:rsidR="00E53543">
        <w:rPr>
          <w:rFonts w:eastAsia="Arial"/>
          <w:lang w:eastAsia="zh-CN"/>
        </w:rPr>
        <w:t xml:space="preserve">introduces </w:t>
      </w:r>
      <w:r w:rsidR="00A504D2">
        <w:rPr>
          <w:rFonts w:eastAsia="Arial"/>
          <w:lang w:eastAsia="zh-CN"/>
        </w:rPr>
        <w:t>FDD+SDL bands combinations switching between FDD UL/DL and FD DL+SDL DL</w:t>
      </w:r>
      <w:r>
        <w:rPr>
          <w:rFonts w:eastAsia="Arial"/>
          <w:lang w:eastAsia="zh-CN"/>
        </w:rPr>
        <w:t xml:space="preserve">, the corresponding </w:t>
      </w:r>
      <w:r w:rsidR="00E53543">
        <w:rPr>
          <w:rFonts w:eastAsia="Arial"/>
          <w:lang w:eastAsia="zh-CN"/>
        </w:rPr>
        <w:t xml:space="preserve">RAN4 </w:t>
      </w:r>
      <w:r w:rsidR="00A504D2">
        <w:rPr>
          <w:rFonts w:eastAsia="Arial"/>
          <w:lang w:eastAsia="zh-CN"/>
        </w:rPr>
        <w:t xml:space="preserve">UERF </w:t>
      </w:r>
      <w:r>
        <w:rPr>
          <w:rFonts w:eastAsia="Arial"/>
          <w:lang w:eastAsia="zh-CN"/>
        </w:rPr>
        <w:t>objectives are copied below in italics.</w:t>
      </w:r>
    </w:p>
    <w:p w14:paraId="771457EC" w14:textId="77777777" w:rsidR="00A504D2" w:rsidRPr="00A504D2" w:rsidRDefault="00A504D2" w:rsidP="00A504D2">
      <w:pPr>
        <w:pStyle w:val="ListParagraph"/>
        <w:numPr>
          <w:ilvl w:val="0"/>
          <w:numId w:val="71"/>
        </w:numPr>
        <w:spacing w:after="0"/>
        <w:ind w:firstLineChars="0"/>
        <w:rPr>
          <w:i/>
          <w:iCs/>
          <w:color w:val="000000" w:themeColor="text1"/>
          <w:lang w:eastAsia="zh-CN"/>
        </w:rPr>
      </w:pPr>
      <w:r w:rsidRPr="00A504D2">
        <w:rPr>
          <w:i/>
          <w:iCs/>
          <w:color w:val="000000" w:themeColor="text1"/>
          <w:lang w:eastAsia="zh-CN"/>
        </w:rPr>
        <w:t xml:space="preserve">Specify the necessary UE RF and RRM core requirements to allow switching between {case 1, case </w:t>
      </w:r>
      <w:r w:rsidRPr="00A504D2">
        <w:rPr>
          <w:rFonts w:hint="eastAsia"/>
          <w:i/>
          <w:iCs/>
          <w:color w:val="000000" w:themeColor="text1"/>
          <w:lang w:eastAsia="zh-CN"/>
        </w:rPr>
        <w:t>3</w:t>
      </w:r>
      <w:r w:rsidRPr="00A504D2">
        <w:rPr>
          <w:i/>
          <w:iCs/>
          <w:color w:val="000000" w:themeColor="text1"/>
          <w:lang w:eastAsia="zh-CN"/>
        </w:rPr>
        <w:t>} to enable low band carrier aggregation via switching for the dual downlink scenario between FDD band and SDL band [RAN4].</w:t>
      </w:r>
    </w:p>
    <w:p w14:paraId="627DFB2F"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Case 1: Tx/Rx on FDD carrier 1 and no Rx on SDL carrier 2.</w:t>
      </w:r>
    </w:p>
    <w:p w14:paraId="161A1D0F"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 xml:space="preserve">Case </w:t>
      </w:r>
      <w:r w:rsidRPr="00A504D2">
        <w:rPr>
          <w:rFonts w:hint="eastAsia"/>
          <w:i/>
          <w:iCs/>
          <w:color w:val="000000" w:themeColor="text1"/>
          <w:lang w:eastAsia="zh-CN"/>
        </w:rPr>
        <w:t>3</w:t>
      </w:r>
      <w:r w:rsidRPr="00A504D2">
        <w:rPr>
          <w:i/>
          <w:iCs/>
          <w:color w:val="000000" w:themeColor="text1"/>
        </w:rPr>
        <w:t>: Rx on both FDD carrier 1 and SDL carrier 2 and no Tx on FDD carrier 1.</w:t>
      </w:r>
    </w:p>
    <w:p w14:paraId="02D979E8"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rFonts w:hint="eastAsia"/>
          <w:i/>
          <w:iCs/>
          <w:color w:val="000000" w:themeColor="text1"/>
        </w:rPr>
        <w:t>E</w:t>
      </w:r>
      <w:r w:rsidRPr="00A504D2">
        <w:rPr>
          <w:i/>
          <w:iCs/>
          <w:color w:val="000000" w:themeColor="text1"/>
        </w:rPr>
        <w:t>xample band combinations: CA_n12A-n29A and CA_n28</w:t>
      </w:r>
      <w:r w:rsidRPr="00A504D2">
        <w:rPr>
          <w:rFonts w:hint="eastAsia"/>
          <w:i/>
          <w:iCs/>
          <w:color w:val="000000" w:themeColor="text1"/>
          <w:lang w:eastAsia="zh-CN"/>
        </w:rPr>
        <w:t>A</w:t>
      </w:r>
      <w:r w:rsidRPr="00A504D2">
        <w:rPr>
          <w:i/>
          <w:iCs/>
          <w:color w:val="000000" w:themeColor="text1"/>
        </w:rPr>
        <w:t>-n67</w:t>
      </w:r>
      <w:r w:rsidRPr="00A504D2">
        <w:rPr>
          <w:rFonts w:hint="eastAsia"/>
          <w:i/>
          <w:iCs/>
          <w:color w:val="000000" w:themeColor="text1"/>
          <w:lang w:eastAsia="zh-CN"/>
        </w:rPr>
        <w:t>A</w:t>
      </w:r>
      <w:r w:rsidRPr="00A504D2">
        <w:rPr>
          <w:i/>
          <w:iCs/>
          <w:color w:val="000000" w:themeColor="text1"/>
        </w:rPr>
        <w:t>, additional FDD+SDL band combinations can be added in the specific basket WI after this WI is completed.</w:t>
      </w:r>
    </w:p>
    <w:p w14:paraId="6C266842"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Reuse the time mask requirements defined in Rel-19 for low-band CA via switching as much as possible</w:t>
      </w:r>
    </w:p>
    <w:p w14:paraId="187AA7EA"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rFonts w:hint="eastAsia"/>
          <w:i/>
          <w:iCs/>
          <w:color w:val="000000" w:themeColor="text1"/>
          <w:lang w:eastAsia="zh-CN"/>
        </w:rPr>
        <w:t xml:space="preserve">Note: Case 2 is specified in Rel-19 WID of </w:t>
      </w:r>
      <w:proofErr w:type="spellStart"/>
      <w:r w:rsidRPr="00A504D2">
        <w:rPr>
          <w:i/>
          <w:iCs/>
          <w:color w:val="000000" w:themeColor="text1"/>
          <w:lang w:eastAsia="zh-CN"/>
        </w:rPr>
        <w:t>NR_LBCA_Sw</w:t>
      </w:r>
      <w:proofErr w:type="spellEnd"/>
    </w:p>
    <w:p w14:paraId="348870D5" w14:textId="77777777" w:rsidR="00A504D2" w:rsidRPr="00A504D2" w:rsidRDefault="00A504D2" w:rsidP="00A504D2">
      <w:pPr>
        <w:pStyle w:val="ListParagraph"/>
        <w:numPr>
          <w:ilvl w:val="0"/>
          <w:numId w:val="71"/>
        </w:numPr>
        <w:spacing w:after="0"/>
        <w:ind w:firstLineChars="0"/>
        <w:rPr>
          <w:i/>
          <w:iCs/>
          <w:color w:val="000000" w:themeColor="text1"/>
          <w:lang w:eastAsia="zh-CN"/>
        </w:rPr>
      </w:pPr>
      <w:r w:rsidRPr="00A504D2">
        <w:rPr>
          <w:i/>
          <w:iCs/>
          <w:color w:val="000000" w:themeColor="text1"/>
          <w:lang w:eastAsia="zh-CN"/>
        </w:rPr>
        <w:t>Reuse the semi-static switching mechanism based on RRC configuration defined in Rel-19 for low-band CA via switching</w:t>
      </w:r>
    </w:p>
    <w:p w14:paraId="715D7763" w14:textId="77777777" w:rsidR="00A504D2" w:rsidRPr="00A504D2" w:rsidRDefault="00A504D2" w:rsidP="00A504D2">
      <w:pPr>
        <w:pStyle w:val="ListParagraph"/>
        <w:numPr>
          <w:ilvl w:val="0"/>
          <w:numId w:val="71"/>
        </w:numPr>
        <w:spacing w:after="0"/>
        <w:ind w:firstLineChars="0"/>
        <w:rPr>
          <w:i/>
          <w:iCs/>
          <w:color w:val="000000" w:themeColor="text1"/>
          <w:lang w:eastAsia="zh-CN"/>
        </w:rPr>
      </w:pPr>
      <w:r w:rsidRPr="00A504D2">
        <w:rPr>
          <w:i/>
          <w:iCs/>
          <w:color w:val="000000" w:themeColor="text1"/>
          <w:lang w:eastAsia="zh-CN"/>
        </w:rPr>
        <w:t xml:space="preserve">Consider the following deployment constraints: </w:t>
      </w:r>
    </w:p>
    <w:p w14:paraId="29BA1344"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The carrier frequency for all cases is &lt;1GHz.</w:t>
      </w:r>
    </w:p>
    <w:p w14:paraId="6281ECBF"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Co-located and synchronized network deployment for both carriers.</w:t>
      </w:r>
    </w:p>
    <w:p w14:paraId="2D643B72"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Both carriers are in a single TAG.</w:t>
      </w:r>
    </w:p>
    <w:p w14:paraId="79495901"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SCS 15Khz on both carriers.</w:t>
      </w:r>
    </w:p>
    <w:p w14:paraId="0DE87E57" w14:textId="77777777" w:rsidR="00A504D2" w:rsidRPr="00A504D2" w:rsidRDefault="00A504D2" w:rsidP="00A504D2">
      <w:pPr>
        <w:pStyle w:val="ListParagraph"/>
        <w:numPr>
          <w:ilvl w:val="1"/>
          <w:numId w:val="71"/>
        </w:numPr>
        <w:spacing w:after="0"/>
        <w:ind w:left="993" w:firstLineChars="0"/>
        <w:rPr>
          <w:i/>
          <w:iCs/>
          <w:color w:val="000000" w:themeColor="text1"/>
        </w:rPr>
      </w:pPr>
      <w:r w:rsidRPr="00A504D2">
        <w:rPr>
          <w:i/>
          <w:iCs/>
          <w:color w:val="000000" w:themeColor="text1"/>
        </w:rPr>
        <w:t>No in-gap interference between DL carriers is expected</w:t>
      </w:r>
    </w:p>
    <w:p w14:paraId="2B439690" w14:textId="77777777" w:rsidR="00A504D2" w:rsidRPr="00A504D2" w:rsidRDefault="00A504D2" w:rsidP="00A504D2">
      <w:pPr>
        <w:pStyle w:val="ListParagraph"/>
        <w:ind w:left="442" w:firstLineChars="0" w:firstLine="0"/>
        <w:rPr>
          <w:i/>
          <w:iCs/>
          <w:color w:val="000000" w:themeColor="text1"/>
          <w:lang w:eastAsia="zh-CN"/>
        </w:rPr>
      </w:pPr>
      <w:r w:rsidRPr="00A504D2">
        <w:rPr>
          <w:i/>
          <w:iCs/>
          <w:color w:val="000000" w:themeColor="text1"/>
          <w:lang w:eastAsia="zh-CN"/>
        </w:rPr>
        <w:t>Note 1: Reuse Rel-19 LB-CA RAN4 requirements as much as possible</w:t>
      </w:r>
      <w:r w:rsidRPr="00A504D2">
        <w:rPr>
          <w:rFonts w:hint="eastAsia"/>
          <w:i/>
          <w:iCs/>
          <w:color w:val="000000" w:themeColor="text1"/>
          <w:lang w:eastAsia="zh-CN"/>
        </w:rPr>
        <w:t>.</w:t>
      </w:r>
    </w:p>
    <w:p w14:paraId="79EC6B74" w14:textId="180B82F7" w:rsidR="004B31DB" w:rsidRDefault="00E53543" w:rsidP="004B31DB">
      <w:pPr>
        <w:rPr>
          <w:rFonts w:eastAsia="Arial"/>
          <w:lang w:eastAsia="zh-CN"/>
        </w:rPr>
      </w:pPr>
      <w:r>
        <w:rPr>
          <w:rFonts w:eastAsia="Arial"/>
          <w:lang w:eastAsia="zh-CN"/>
        </w:rPr>
        <w:t>I</w:t>
      </w:r>
      <w:r w:rsidR="001219F6">
        <w:rPr>
          <w:rFonts w:eastAsia="Arial"/>
          <w:lang w:eastAsia="zh-CN"/>
        </w:rPr>
        <w:t>n this contribution</w:t>
      </w:r>
      <w:r w:rsidR="009C0BE0">
        <w:rPr>
          <w:rFonts w:eastAsia="Arial"/>
          <w:lang w:eastAsia="zh-CN"/>
        </w:rPr>
        <w:t>,</w:t>
      </w:r>
      <w:r w:rsidR="001219F6">
        <w:rPr>
          <w:rFonts w:eastAsia="Arial"/>
          <w:lang w:eastAsia="zh-CN"/>
        </w:rPr>
        <w:t xml:space="preserve"> we provide our preliminary input on </w:t>
      </w:r>
      <w:r w:rsidR="00A504D2">
        <w:rPr>
          <w:rFonts w:eastAsia="Arial"/>
          <w:lang w:eastAsia="zh-CN"/>
        </w:rPr>
        <w:t>RF front</w:t>
      </w:r>
      <w:r w:rsidR="009C0BE0">
        <w:rPr>
          <w:rFonts w:eastAsia="Arial"/>
          <w:lang w:eastAsia="zh-CN"/>
        </w:rPr>
        <w:t>-</w:t>
      </w:r>
      <w:r w:rsidR="00A504D2">
        <w:rPr>
          <w:rFonts w:eastAsia="Arial"/>
          <w:lang w:eastAsia="zh-CN"/>
        </w:rPr>
        <w:t xml:space="preserve">end feasibility for the example band combinations </w:t>
      </w:r>
      <w:r w:rsidR="00A504D2" w:rsidRPr="00A504D2">
        <w:rPr>
          <w:rFonts w:eastAsia="Arial"/>
          <w:lang w:eastAsia="zh-CN"/>
        </w:rPr>
        <w:t>CA_n12A-n29A and CA_n28A-n67A</w:t>
      </w:r>
      <w:r w:rsidR="00A504D2">
        <w:rPr>
          <w:rFonts w:eastAsia="Arial"/>
          <w:lang w:eastAsia="zh-CN"/>
        </w:rPr>
        <w:t>.</w:t>
      </w:r>
    </w:p>
    <w:p w14:paraId="551EB799" w14:textId="1E67303B" w:rsidR="001219F6" w:rsidRDefault="001219F6" w:rsidP="001219F6">
      <w:pPr>
        <w:pStyle w:val="Heading2"/>
        <w:rPr>
          <w:rFonts w:eastAsia="Arial"/>
          <w:lang w:eastAsia="zh-CN"/>
        </w:rPr>
      </w:pPr>
      <w:r>
        <w:rPr>
          <w:rFonts w:eastAsia="Arial"/>
          <w:lang w:eastAsia="zh-CN"/>
        </w:rPr>
        <w:t xml:space="preserve">2.2 </w:t>
      </w:r>
      <w:r w:rsidR="004D0C28">
        <w:rPr>
          <w:rFonts w:eastAsia="Arial"/>
          <w:lang w:eastAsia="zh-CN"/>
        </w:rPr>
        <w:t xml:space="preserve">RF front end architecture based on two LB antennas </w:t>
      </w:r>
    </w:p>
    <w:p w14:paraId="6CF0803E" w14:textId="5FE95922" w:rsidR="004D0C28" w:rsidRDefault="004D0C28" w:rsidP="004D0C28">
      <w:pPr>
        <w:rPr>
          <w:rFonts w:eastAsia="Arial"/>
          <w:lang w:eastAsia="zh-CN"/>
        </w:rPr>
      </w:pPr>
      <w:r>
        <w:rPr>
          <w:rFonts w:eastAsia="Arial"/>
          <w:lang w:eastAsia="zh-CN"/>
        </w:rPr>
        <w:t>To get a sense for the RF front-end architecture it is important to see where the bands sit in the low band frequency range</w:t>
      </w:r>
      <w:r w:rsidR="009E75B5">
        <w:rPr>
          <w:rFonts w:eastAsia="Arial"/>
          <w:lang w:eastAsia="zh-CN"/>
        </w:rPr>
        <w:t xml:space="preserve"> which can be visualized in Figure 1</w:t>
      </w:r>
      <w:r>
        <w:rPr>
          <w:rFonts w:eastAsia="Arial"/>
          <w:lang w:eastAsia="zh-CN"/>
        </w:rPr>
        <w:t>.</w:t>
      </w:r>
    </w:p>
    <w:p w14:paraId="6570155D" w14:textId="77777777" w:rsidR="009E75B5" w:rsidRDefault="009E75B5" w:rsidP="009E75B5">
      <w:pPr>
        <w:keepNext/>
        <w:spacing w:after="0"/>
        <w:jc w:val="center"/>
      </w:pPr>
      <w:r w:rsidRPr="009E75B5">
        <w:rPr>
          <w:rFonts w:eastAsia="Arial"/>
          <w:noProof/>
        </w:rPr>
        <w:drawing>
          <wp:inline distT="0" distB="0" distL="0" distR="0" wp14:anchorId="08CAE3CE" wp14:editId="6F557E35">
            <wp:extent cx="5724525" cy="723900"/>
            <wp:effectExtent l="0" t="0" r="9525" b="0"/>
            <wp:docPr id="1168273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4525" cy="723900"/>
                    </a:xfrm>
                    <a:prstGeom prst="rect">
                      <a:avLst/>
                    </a:prstGeom>
                    <a:noFill/>
                    <a:ln>
                      <a:noFill/>
                    </a:ln>
                  </pic:spPr>
                </pic:pic>
              </a:graphicData>
            </a:graphic>
          </wp:inline>
        </w:drawing>
      </w:r>
    </w:p>
    <w:p w14:paraId="384016AD" w14:textId="6524764A" w:rsidR="00E06750" w:rsidRDefault="009E75B5" w:rsidP="009E75B5">
      <w:pPr>
        <w:pStyle w:val="Caption"/>
      </w:pPr>
      <w:r>
        <w:t xml:space="preserve">Figure </w:t>
      </w:r>
      <w:r>
        <w:fldChar w:fldCharType="begin"/>
      </w:r>
      <w:r>
        <w:instrText xml:space="preserve"> SEQ Figure \* ARABIC </w:instrText>
      </w:r>
      <w:r>
        <w:fldChar w:fldCharType="separate"/>
      </w:r>
      <w:r w:rsidR="001C5EF0">
        <w:rPr>
          <w:noProof/>
        </w:rPr>
        <w:t>1</w:t>
      </w:r>
      <w:r>
        <w:fldChar w:fldCharType="end"/>
      </w:r>
      <w:r>
        <w:t>: Band n12, n28, n29 and n67</w:t>
      </w:r>
    </w:p>
    <w:p w14:paraId="43703A8F" w14:textId="657C0955" w:rsidR="00441178" w:rsidRDefault="00441178" w:rsidP="002D4A12">
      <w:pPr>
        <w:spacing w:after="0"/>
        <w:rPr>
          <w:rFonts w:eastAsia="Arial"/>
          <w:b/>
          <w:bCs/>
          <w:lang w:val="en-US"/>
        </w:rPr>
      </w:pPr>
      <w:r w:rsidRPr="00441178">
        <w:rPr>
          <w:rFonts w:eastAsia="Arial"/>
          <w:b/>
          <w:bCs/>
          <w:lang w:val="en-US"/>
        </w:rPr>
        <w:t>Observation</w:t>
      </w:r>
      <w:r w:rsidR="004F1136">
        <w:rPr>
          <w:rFonts w:eastAsia="Arial"/>
          <w:b/>
          <w:bCs/>
          <w:lang w:val="en-US"/>
        </w:rPr>
        <w:t>s</w:t>
      </w:r>
      <w:r w:rsidRPr="00441178">
        <w:rPr>
          <w:rFonts w:eastAsia="Arial"/>
          <w:b/>
          <w:bCs/>
          <w:lang w:val="en-US"/>
        </w:rPr>
        <w:t>:</w:t>
      </w:r>
    </w:p>
    <w:p w14:paraId="3C6E68F7" w14:textId="5D367843" w:rsidR="00441178" w:rsidRDefault="00441178" w:rsidP="002D4A12">
      <w:pPr>
        <w:pStyle w:val="ListParagraph"/>
        <w:numPr>
          <w:ilvl w:val="0"/>
          <w:numId w:val="72"/>
        </w:numPr>
        <w:spacing w:after="0"/>
        <w:ind w:firstLineChars="0"/>
        <w:rPr>
          <w:rFonts w:eastAsia="Arial"/>
          <w:b/>
          <w:bCs/>
          <w:lang w:val="en-US"/>
        </w:rPr>
      </w:pPr>
      <w:r>
        <w:rPr>
          <w:rFonts w:eastAsia="Arial"/>
          <w:b/>
          <w:bCs/>
          <w:lang w:val="en-US"/>
        </w:rPr>
        <w:t xml:space="preserve">n67 SDL band overlaps with n28UL (n28B side) and is adjacent to </w:t>
      </w:r>
      <w:r w:rsidR="009C0BE0">
        <w:rPr>
          <w:rFonts w:eastAsia="Arial"/>
          <w:b/>
          <w:bCs/>
          <w:lang w:val="en-US"/>
        </w:rPr>
        <w:t xml:space="preserve">Band </w:t>
      </w:r>
      <w:r>
        <w:rPr>
          <w:rFonts w:eastAsia="Arial"/>
          <w:b/>
          <w:bCs/>
          <w:lang w:val="en-US"/>
        </w:rPr>
        <w:t>n28 DL</w:t>
      </w:r>
    </w:p>
    <w:p w14:paraId="62C48CC8" w14:textId="10C800F3" w:rsidR="00441178" w:rsidRDefault="00441178" w:rsidP="002D4A12">
      <w:pPr>
        <w:pStyle w:val="ListParagraph"/>
        <w:numPr>
          <w:ilvl w:val="0"/>
          <w:numId w:val="72"/>
        </w:numPr>
        <w:spacing w:after="0"/>
        <w:ind w:firstLineChars="0"/>
        <w:rPr>
          <w:rFonts w:eastAsia="Arial"/>
          <w:b/>
          <w:bCs/>
          <w:lang w:val="en-US"/>
        </w:rPr>
      </w:pPr>
      <w:r>
        <w:rPr>
          <w:rFonts w:eastAsia="Arial"/>
          <w:b/>
          <w:bCs/>
          <w:lang w:val="en-US"/>
        </w:rPr>
        <w:t xml:space="preserve">n29 SDL </w:t>
      </w:r>
      <w:r w:rsidR="009C0BE0">
        <w:rPr>
          <w:rFonts w:eastAsia="Arial"/>
          <w:b/>
          <w:bCs/>
          <w:lang w:val="en-US"/>
        </w:rPr>
        <w:t xml:space="preserve">band </w:t>
      </w:r>
      <w:r>
        <w:rPr>
          <w:rFonts w:eastAsia="Arial"/>
          <w:b/>
          <w:bCs/>
          <w:lang w:val="en-US"/>
        </w:rPr>
        <w:t xml:space="preserve">has only 1MHz gap to </w:t>
      </w:r>
      <w:r w:rsidR="009C0BE0">
        <w:rPr>
          <w:rFonts w:eastAsia="Arial"/>
          <w:b/>
          <w:bCs/>
          <w:lang w:val="en-US"/>
        </w:rPr>
        <w:t xml:space="preserve">Band </w:t>
      </w:r>
      <w:r>
        <w:rPr>
          <w:rFonts w:eastAsia="Arial"/>
          <w:b/>
          <w:bCs/>
          <w:lang w:val="en-US"/>
        </w:rPr>
        <w:t xml:space="preserve">n12 (and n85) UL and 1MHz gap to </w:t>
      </w:r>
      <w:r w:rsidR="009C0BE0">
        <w:rPr>
          <w:rFonts w:eastAsia="Arial"/>
          <w:b/>
          <w:bCs/>
          <w:lang w:val="en-US"/>
        </w:rPr>
        <w:t xml:space="preserve">Band </w:t>
      </w:r>
      <w:r>
        <w:rPr>
          <w:rFonts w:eastAsia="Arial"/>
          <w:b/>
          <w:bCs/>
          <w:lang w:val="en-US"/>
        </w:rPr>
        <w:t>n12 DL (and adjacent to n85 DL)</w:t>
      </w:r>
    </w:p>
    <w:p w14:paraId="6EF94DC6" w14:textId="77777777" w:rsidR="00113CA7" w:rsidRDefault="00113CA7" w:rsidP="002D4A12">
      <w:pPr>
        <w:pStyle w:val="ListParagraph"/>
        <w:numPr>
          <w:ilvl w:val="0"/>
          <w:numId w:val="72"/>
        </w:numPr>
        <w:spacing w:after="0"/>
        <w:ind w:firstLineChars="0"/>
        <w:rPr>
          <w:rFonts w:eastAsia="Arial"/>
          <w:b/>
          <w:bCs/>
          <w:lang w:val="en-US"/>
        </w:rPr>
      </w:pPr>
      <w:r>
        <w:rPr>
          <w:rFonts w:eastAsia="Arial"/>
          <w:b/>
          <w:bCs/>
          <w:lang w:val="en-US"/>
        </w:rPr>
        <w:t>In most cases:</w:t>
      </w:r>
    </w:p>
    <w:p w14:paraId="31D8CEB6" w14:textId="666939E1" w:rsidR="00113CA7" w:rsidRDefault="00113CA7" w:rsidP="001E1262">
      <w:pPr>
        <w:pStyle w:val="ListParagraph"/>
        <w:numPr>
          <w:ilvl w:val="1"/>
          <w:numId w:val="72"/>
        </w:numPr>
        <w:spacing w:after="0"/>
        <w:ind w:firstLineChars="0"/>
        <w:rPr>
          <w:rFonts w:eastAsia="Arial"/>
          <w:b/>
          <w:bCs/>
          <w:lang w:val="en-US"/>
        </w:rPr>
      </w:pPr>
      <w:r>
        <w:rPr>
          <w:rFonts w:eastAsia="Arial"/>
          <w:b/>
          <w:bCs/>
          <w:lang w:val="en-US"/>
        </w:rPr>
        <w:t>Band n12 uses a n85 implementation</w:t>
      </w:r>
    </w:p>
    <w:p w14:paraId="097CD483" w14:textId="63D91549" w:rsidR="001E1262" w:rsidRPr="001E1262" w:rsidRDefault="00113CA7" w:rsidP="001E1262">
      <w:pPr>
        <w:pStyle w:val="ListParagraph"/>
        <w:numPr>
          <w:ilvl w:val="1"/>
          <w:numId w:val="72"/>
        </w:numPr>
        <w:spacing w:after="0"/>
        <w:ind w:firstLineChars="0"/>
        <w:rPr>
          <w:rFonts w:eastAsia="Arial"/>
          <w:b/>
          <w:bCs/>
          <w:lang w:val="en-US"/>
        </w:rPr>
      </w:pPr>
      <w:r>
        <w:rPr>
          <w:rFonts w:eastAsia="Arial"/>
          <w:b/>
          <w:bCs/>
          <w:lang w:val="en-US"/>
        </w:rPr>
        <w:t xml:space="preserve">Band n28 uses a </w:t>
      </w:r>
      <w:r w:rsidR="001E1262">
        <w:rPr>
          <w:rFonts w:eastAsia="Arial"/>
          <w:b/>
          <w:bCs/>
          <w:lang w:val="en-US"/>
        </w:rPr>
        <w:t>full band filter</w:t>
      </w:r>
      <w:r w:rsidR="009C0BE0">
        <w:rPr>
          <w:rFonts w:eastAsia="Arial"/>
          <w:b/>
          <w:bCs/>
          <w:lang w:val="en-US"/>
        </w:rPr>
        <w:t>.</w:t>
      </w:r>
    </w:p>
    <w:p w14:paraId="7C0E853A" w14:textId="77777777" w:rsidR="002D4A12" w:rsidRDefault="002D4A12" w:rsidP="002D4A12">
      <w:pPr>
        <w:spacing w:after="0"/>
        <w:rPr>
          <w:rFonts w:eastAsia="Arial"/>
          <w:b/>
          <w:bCs/>
          <w:lang w:val="en-US"/>
        </w:rPr>
      </w:pPr>
    </w:p>
    <w:p w14:paraId="160A09C5" w14:textId="512EA8C3" w:rsidR="002D4A12" w:rsidRDefault="009C0BE0" w:rsidP="002D4A12">
      <w:pPr>
        <w:spacing w:after="0"/>
        <w:rPr>
          <w:rFonts w:eastAsia="Arial"/>
          <w:lang w:val="en-US"/>
        </w:rPr>
      </w:pPr>
      <w:r>
        <w:rPr>
          <w:rFonts w:eastAsia="Arial"/>
          <w:lang w:val="en-US"/>
        </w:rPr>
        <w:t>B</w:t>
      </w:r>
      <w:r w:rsidR="002D4A12" w:rsidRPr="002D4A12">
        <w:rPr>
          <w:rFonts w:eastAsia="Arial"/>
          <w:lang w:val="en-US"/>
        </w:rPr>
        <w:t xml:space="preserve">ased on these observations, there are </w:t>
      </w:r>
      <w:r w:rsidR="002D4A12">
        <w:rPr>
          <w:rFonts w:eastAsia="Arial"/>
          <w:lang w:val="en-US"/>
        </w:rPr>
        <w:t>a few consequences:</w:t>
      </w:r>
    </w:p>
    <w:p w14:paraId="786DC10C" w14:textId="2C27C7F6" w:rsidR="002D4A12" w:rsidRDefault="001E1262" w:rsidP="001E1262">
      <w:pPr>
        <w:pStyle w:val="ListParagraph"/>
        <w:numPr>
          <w:ilvl w:val="0"/>
          <w:numId w:val="73"/>
        </w:numPr>
        <w:spacing w:after="0"/>
        <w:ind w:left="360" w:firstLineChars="0"/>
        <w:rPr>
          <w:rFonts w:eastAsia="Arial"/>
          <w:lang w:val="en-US"/>
        </w:rPr>
      </w:pPr>
      <w:r>
        <w:rPr>
          <w:rFonts w:eastAsia="Arial"/>
          <w:lang w:val="en-US"/>
        </w:rPr>
        <w:t>F</w:t>
      </w:r>
      <w:r w:rsidR="00113CA7">
        <w:rPr>
          <w:rFonts w:eastAsia="Arial"/>
          <w:lang w:val="en-US"/>
        </w:rPr>
        <w:t xml:space="preserve">or the SDL DL + FDD DL operation, the two DL filters should be combined on the main and diversity path as there is only a 1MHz or no gap. For separate filters, </w:t>
      </w:r>
      <w:r>
        <w:rPr>
          <w:rFonts w:eastAsia="Arial"/>
          <w:lang w:val="en-US"/>
        </w:rPr>
        <w:t>4 antennas would be needed.</w:t>
      </w:r>
    </w:p>
    <w:p w14:paraId="5AC309FC" w14:textId="060D3176" w:rsidR="00E43408" w:rsidRDefault="009963D2" w:rsidP="001E1262">
      <w:pPr>
        <w:pStyle w:val="ListParagraph"/>
        <w:numPr>
          <w:ilvl w:val="0"/>
          <w:numId w:val="74"/>
        </w:numPr>
        <w:spacing w:after="0"/>
        <w:ind w:left="360" w:firstLineChars="0"/>
        <w:rPr>
          <w:rFonts w:eastAsia="Arial"/>
          <w:lang w:val="en-US"/>
        </w:rPr>
      </w:pPr>
      <w:r>
        <w:rPr>
          <w:rFonts w:eastAsia="Arial"/>
          <w:lang w:val="en-US"/>
        </w:rPr>
        <w:t>Since the SDL+FDD DL bands are combined in the filter</w:t>
      </w:r>
      <w:r w:rsidR="009C0BE0">
        <w:rPr>
          <w:rFonts w:eastAsia="Arial"/>
          <w:lang w:val="en-US"/>
        </w:rPr>
        <w:t>,</w:t>
      </w:r>
      <w:r>
        <w:rPr>
          <w:rFonts w:eastAsia="Arial"/>
          <w:lang w:val="en-US"/>
        </w:rPr>
        <w:t xml:space="preserve"> they need to share the </w:t>
      </w:r>
      <w:proofErr w:type="gramStart"/>
      <w:r>
        <w:rPr>
          <w:rFonts w:eastAsia="Arial"/>
          <w:lang w:val="en-US"/>
        </w:rPr>
        <w:t>LNA</w:t>
      </w:r>
      <w:proofErr w:type="gramEnd"/>
      <w:r>
        <w:rPr>
          <w:rFonts w:eastAsia="Arial"/>
          <w:lang w:val="en-US"/>
        </w:rPr>
        <w:t xml:space="preserve"> and the two bands can only be separated after the LNA with separate down conversions</w:t>
      </w:r>
    </w:p>
    <w:p w14:paraId="4DB0D3C3" w14:textId="0D2EE2E4" w:rsidR="001E1262" w:rsidRDefault="001E1262" w:rsidP="001E1262">
      <w:pPr>
        <w:pStyle w:val="ListParagraph"/>
        <w:numPr>
          <w:ilvl w:val="0"/>
          <w:numId w:val="74"/>
        </w:numPr>
        <w:spacing w:after="0"/>
        <w:ind w:left="360" w:firstLineChars="0"/>
        <w:rPr>
          <w:rFonts w:eastAsia="Arial"/>
          <w:lang w:val="en-US"/>
        </w:rPr>
      </w:pPr>
      <w:r>
        <w:rPr>
          <w:rFonts w:eastAsia="Arial"/>
          <w:lang w:val="en-US"/>
        </w:rPr>
        <w:lastRenderedPageBreak/>
        <w:t>Combined filter cannot be reused for the FDD UL/DL operation as:</w:t>
      </w:r>
    </w:p>
    <w:p w14:paraId="3304EAE5" w14:textId="358C0DB3" w:rsidR="001E1262" w:rsidRDefault="001E1262" w:rsidP="001E1262">
      <w:pPr>
        <w:pStyle w:val="ListParagraph"/>
        <w:numPr>
          <w:ilvl w:val="1"/>
          <w:numId w:val="74"/>
        </w:numPr>
        <w:spacing w:after="0"/>
        <w:ind w:left="1080" w:firstLineChars="0"/>
        <w:rPr>
          <w:rFonts w:eastAsia="Arial"/>
          <w:lang w:val="en-US"/>
        </w:rPr>
      </w:pPr>
      <w:r>
        <w:rPr>
          <w:rFonts w:eastAsia="Arial"/>
          <w:lang w:val="en-US"/>
        </w:rPr>
        <w:t>n29 is only 1MHz away from n12(n85) UL band</w:t>
      </w:r>
    </w:p>
    <w:p w14:paraId="318A0B1E" w14:textId="02E50B10" w:rsidR="001E1262" w:rsidRDefault="001E1262" w:rsidP="001E1262">
      <w:pPr>
        <w:pStyle w:val="ListParagraph"/>
        <w:numPr>
          <w:ilvl w:val="1"/>
          <w:numId w:val="74"/>
        </w:numPr>
        <w:spacing w:after="0"/>
        <w:ind w:left="1080" w:firstLineChars="0"/>
        <w:rPr>
          <w:rFonts w:eastAsia="Arial"/>
          <w:lang w:val="en-US"/>
        </w:rPr>
      </w:pPr>
      <w:r>
        <w:rPr>
          <w:rFonts w:eastAsia="Arial"/>
          <w:lang w:val="en-US"/>
        </w:rPr>
        <w:t>n67 overlaps with n28F and only has 5MHz gap to n28A</w:t>
      </w:r>
    </w:p>
    <w:p w14:paraId="71083CE0" w14:textId="38FC0D37" w:rsidR="002C5802" w:rsidRPr="002C5802" w:rsidRDefault="002C5802" w:rsidP="002C5802">
      <w:pPr>
        <w:pStyle w:val="ListParagraph"/>
        <w:numPr>
          <w:ilvl w:val="0"/>
          <w:numId w:val="74"/>
        </w:numPr>
        <w:spacing w:after="0"/>
        <w:ind w:left="360" w:firstLineChars="0"/>
        <w:rPr>
          <w:rFonts w:eastAsia="Arial"/>
          <w:lang w:val="en-US"/>
        </w:rPr>
      </w:pPr>
      <w:r>
        <w:rPr>
          <w:rFonts w:eastAsia="Arial"/>
          <w:lang w:val="en-US"/>
        </w:rPr>
        <w:t>Combined filter may be reusable for the SDL band CA operation with other bands due to blocking requirements.</w:t>
      </w:r>
    </w:p>
    <w:p w14:paraId="529CABD2" w14:textId="56A9E976" w:rsidR="001E1262" w:rsidRDefault="001E1262" w:rsidP="001E1262">
      <w:pPr>
        <w:pStyle w:val="ListParagraph"/>
        <w:numPr>
          <w:ilvl w:val="0"/>
          <w:numId w:val="74"/>
        </w:numPr>
        <w:spacing w:after="0"/>
        <w:ind w:left="360" w:firstLineChars="0"/>
        <w:rPr>
          <w:rFonts w:eastAsia="Arial"/>
          <w:lang w:val="en-US"/>
        </w:rPr>
      </w:pPr>
      <w:r>
        <w:rPr>
          <w:rFonts w:eastAsia="Arial"/>
          <w:lang w:val="en-US"/>
        </w:rPr>
        <w:t>Combined DL filter bandwidth is:</w:t>
      </w:r>
    </w:p>
    <w:p w14:paraId="5F78758C" w14:textId="78FB2590" w:rsidR="001E1262" w:rsidRDefault="005E4981" w:rsidP="001E1262">
      <w:pPr>
        <w:pStyle w:val="ListParagraph"/>
        <w:numPr>
          <w:ilvl w:val="1"/>
          <w:numId w:val="74"/>
        </w:numPr>
        <w:spacing w:after="0"/>
        <w:ind w:left="1080" w:firstLineChars="0"/>
        <w:rPr>
          <w:rFonts w:eastAsia="Arial"/>
          <w:lang w:val="en-US"/>
        </w:rPr>
      </w:pPr>
      <w:r>
        <w:rPr>
          <w:rFonts w:eastAsia="Arial"/>
          <w:lang w:val="en-US"/>
        </w:rPr>
        <w:t>18+</w:t>
      </w:r>
      <w:r w:rsidR="00FE7F01">
        <w:rPr>
          <w:rFonts w:eastAsia="Arial"/>
          <w:lang w:val="en-US"/>
        </w:rPr>
        <w:t xml:space="preserve">11=29MHz for </w:t>
      </w:r>
      <w:r w:rsidR="001E1262">
        <w:rPr>
          <w:rFonts w:eastAsia="Arial"/>
          <w:lang w:val="en-US"/>
        </w:rPr>
        <w:t>n</w:t>
      </w:r>
      <w:r>
        <w:rPr>
          <w:rFonts w:eastAsia="Arial"/>
          <w:lang w:val="en-US"/>
        </w:rPr>
        <w:t>12</w:t>
      </w:r>
      <w:r w:rsidR="00FE7F01">
        <w:rPr>
          <w:rFonts w:eastAsia="Arial"/>
          <w:lang w:val="en-US"/>
        </w:rPr>
        <w:t>DL+n</w:t>
      </w:r>
      <w:r>
        <w:rPr>
          <w:rFonts w:eastAsia="Arial"/>
          <w:lang w:val="en-US"/>
        </w:rPr>
        <w:t>29</w:t>
      </w:r>
      <w:r w:rsidR="00FE7F01">
        <w:rPr>
          <w:rFonts w:eastAsia="Arial"/>
          <w:lang w:val="en-US"/>
        </w:rPr>
        <w:t>DL</w:t>
      </w:r>
      <w:r>
        <w:rPr>
          <w:rFonts w:eastAsia="Arial"/>
          <w:lang w:val="en-US"/>
        </w:rPr>
        <w:t xml:space="preserve"> (4% BW)</w:t>
      </w:r>
    </w:p>
    <w:p w14:paraId="2B426908" w14:textId="2FFFEB53" w:rsidR="001E1262" w:rsidRDefault="005E4981" w:rsidP="00683D38">
      <w:pPr>
        <w:pStyle w:val="ListParagraph"/>
        <w:numPr>
          <w:ilvl w:val="1"/>
          <w:numId w:val="74"/>
        </w:numPr>
        <w:spacing w:after="0"/>
        <w:ind w:left="1080" w:firstLineChars="0"/>
        <w:rPr>
          <w:rFonts w:eastAsia="Arial"/>
          <w:lang w:val="en-US"/>
        </w:rPr>
      </w:pPr>
      <w:r w:rsidRPr="005E4981">
        <w:rPr>
          <w:rFonts w:eastAsia="Arial"/>
          <w:lang w:val="en-US"/>
        </w:rPr>
        <w:t>45+20=65MHz for n28F+</w:t>
      </w:r>
      <w:r w:rsidR="001E1262" w:rsidRPr="005E4981">
        <w:rPr>
          <w:rFonts w:eastAsia="Arial"/>
          <w:lang w:val="en-US"/>
        </w:rPr>
        <w:t>n67</w:t>
      </w:r>
      <w:r>
        <w:rPr>
          <w:rFonts w:eastAsia="Arial"/>
          <w:lang w:val="en-US"/>
        </w:rPr>
        <w:t xml:space="preserve"> (8.4% BW</w:t>
      </w:r>
      <w:r w:rsidR="002C5802">
        <w:rPr>
          <w:rFonts w:eastAsia="Arial"/>
          <w:lang w:val="en-US"/>
        </w:rPr>
        <w:t>)</w:t>
      </w:r>
    </w:p>
    <w:p w14:paraId="1BDB9B7E" w14:textId="432F2F91" w:rsidR="005E4981" w:rsidRDefault="005E4981" w:rsidP="005E4981">
      <w:pPr>
        <w:pStyle w:val="ListParagraph"/>
        <w:numPr>
          <w:ilvl w:val="1"/>
          <w:numId w:val="74"/>
        </w:numPr>
        <w:spacing w:after="0"/>
        <w:ind w:left="1080" w:firstLineChars="0"/>
        <w:rPr>
          <w:rFonts w:eastAsia="Arial"/>
          <w:lang w:val="en-US"/>
        </w:rPr>
      </w:pPr>
      <w:r>
        <w:rPr>
          <w:rFonts w:eastAsia="Arial"/>
          <w:lang w:val="en-US"/>
        </w:rPr>
        <w:t>30+20=50MHz for n28A+n67 (6.6%BW</w:t>
      </w:r>
      <w:r w:rsidR="002C5802">
        <w:rPr>
          <w:rFonts w:eastAsia="Arial"/>
          <w:lang w:val="en-US"/>
        </w:rPr>
        <w:t>)</w:t>
      </w:r>
      <w:r w:rsidR="009C0BE0">
        <w:rPr>
          <w:rFonts w:eastAsia="Arial"/>
          <w:lang w:val="en-US"/>
        </w:rPr>
        <w:t>.</w:t>
      </w:r>
    </w:p>
    <w:p w14:paraId="6EE1968D" w14:textId="77777777" w:rsidR="002C5802" w:rsidRDefault="002C5802" w:rsidP="002C5802">
      <w:pPr>
        <w:spacing w:after="0"/>
        <w:rPr>
          <w:rFonts w:eastAsia="Arial"/>
          <w:lang w:val="en-US"/>
        </w:rPr>
      </w:pPr>
    </w:p>
    <w:p w14:paraId="4DFD30DE" w14:textId="0440B442" w:rsidR="002C5802" w:rsidRDefault="002C5802" w:rsidP="002C5802">
      <w:pPr>
        <w:spacing w:after="0"/>
        <w:rPr>
          <w:rFonts w:eastAsia="Arial"/>
          <w:lang w:val="en-US"/>
        </w:rPr>
      </w:pPr>
      <w:r>
        <w:rPr>
          <w:rFonts w:eastAsia="Arial"/>
          <w:lang w:val="en-US"/>
        </w:rPr>
        <w:t xml:space="preserve">The needed combined filter </w:t>
      </w:r>
      <w:r w:rsidR="004F1136">
        <w:rPr>
          <w:rFonts w:eastAsia="Arial"/>
          <w:lang w:val="en-US"/>
        </w:rPr>
        <w:t>b</w:t>
      </w:r>
      <w:r>
        <w:rPr>
          <w:rFonts w:eastAsia="Arial"/>
          <w:lang w:val="en-US"/>
        </w:rPr>
        <w:t>andwidth</w:t>
      </w:r>
      <w:r w:rsidR="004F1136">
        <w:rPr>
          <w:rFonts w:eastAsia="Arial"/>
          <w:lang w:val="en-US"/>
        </w:rPr>
        <w:t>s</w:t>
      </w:r>
      <w:r>
        <w:rPr>
          <w:rFonts w:eastAsia="Arial"/>
          <w:lang w:val="en-US"/>
        </w:rPr>
        <w:t xml:space="preserve"> </w:t>
      </w:r>
      <w:r w:rsidR="004F1136">
        <w:rPr>
          <w:rFonts w:eastAsia="Arial"/>
          <w:lang w:val="en-US"/>
        </w:rPr>
        <w:t>are</w:t>
      </w:r>
      <w:r>
        <w:rPr>
          <w:rFonts w:eastAsia="Arial"/>
          <w:lang w:val="en-US"/>
        </w:rPr>
        <w:t xml:space="preserve"> compared</w:t>
      </w:r>
      <w:r w:rsidR="004F1136">
        <w:rPr>
          <w:rFonts w:eastAsia="Arial"/>
          <w:lang w:val="en-US"/>
        </w:rPr>
        <w:t xml:space="preserve"> in Table 1</w:t>
      </w:r>
      <w:r>
        <w:rPr>
          <w:rFonts w:eastAsia="Arial"/>
          <w:lang w:val="en-US"/>
        </w:rPr>
        <w:t xml:space="preserve"> </w:t>
      </w:r>
      <w:r w:rsidR="004F1136">
        <w:rPr>
          <w:rFonts w:eastAsia="Arial"/>
          <w:lang w:val="en-US"/>
        </w:rPr>
        <w:t>with the current low-band worst case bandwidth filters (n28 and n105 duplexers)</w:t>
      </w:r>
    </w:p>
    <w:p w14:paraId="02C03294" w14:textId="77777777" w:rsidR="004F1136" w:rsidRDefault="004F1136" w:rsidP="002C5802">
      <w:pPr>
        <w:spacing w:after="0"/>
        <w:rPr>
          <w:rFonts w:eastAsia="Arial"/>
          <w:lang w:val="en-US"/>
        </w:rPr>
      </w:pPr>
    </w:p>
    <w:p w14:paraId="1CF76019" w14:textId="7ABEB7F7" w:rsidR="004F1136" w:rsidRDefault="004F1136" w:rsidP="004F1136">
      <w:pPr>
        <w:pStyle w:val="Caption"/>
        <w:keepNext/>
      </w:pPr>
      <w:r>
        <w:t xml:space="preserve">Table </w:t>
      </w:r>
      <w:r>
        <w:fldChar w:fldCharType="begin"/>
      </w:r>
      <w:r>
        <w:instrText xml:space="preserve"> SEQ Table \* ARABIC </w:instrText>
      </w:r>
      <w:r>
        <w:fldChar w:fldCharType="separate"/>
      </w:r>
      <w:r>
        <w:rPr>
          <w:noProof/>
        </w:rPr>
        <w:t>1</w:t>
      </w:r>
      <w:r>
        <w:fldChar w:fldCharType="end"/>
      </w:r>
      <w:r>
        <w:t>: comparison of combined SDL+FDD DL filter with worst-case LB filters</w:t>
      </w:r>
    </w:p>
    <w:tbl>
      <w:tblPr>
        <w:tblW w:w="7231" w:type="dxa"/>
        <w:jc w:val="center"/>
        <w:tblLook w:val="04A0" w:firstRow="1" w:lastRow="0" w:firstColumn="1" w:lastColumn="0" w:noHBand="0" w:noVBand="1"/>
      </w:tblPr>
      <w:tblGrid>
        <w:gridCol w:w="1420"/>
        <w:gridCol w:w="564"/>
        <w:gridCol w:w="620"/>
        <w:gridCol w:w="554"/>
        <w:gridCol w:w="573"/>
        <w:gridCol w:w="3500"/>
      </w:tblGrid>
      <w:tr w:rsidR="004F1136" w:rsidRPr="004F1136" w14:paraId="11B48B02" w14:textId="77777777" w:rsidTr="004F1136">
        <w:trPr>
          <w:trHeight w:val="70"/>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F10283"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Band/</w:t>
            </w:r>
            <w:r w:rsidRPr="004F1136">
              <w:rPr>
                <w:rFonts w:asciiTheme="minorHAnsi" w:hAnsiTheme="minorHAnsi" w:cstheme="minorHAnsi"/>
                <w:b/>
                <w:bCs/>
                <w:color w:val="000000"/>
                <w:sz w:val="18"/>
                <w:szCs w:val="18"/>
                <w:lang w:val="en-US" w:eastAsia="en-US"/>
              </w:rPr>
              <w:t>Band combination</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07FA0FF8"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Flow</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1F434F4C"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4F1136">
              <w:rPr>
                <w:rFonts w:asciiTheme="minorHAnsi" w:hAnsiTheme="minorHAnsi" w:cstheme="minorHAnsi"/>
                <w:color w:val="000000"/>
                <w:sz w:val="18"/>
                <w:szCs w:val="18"/>
                <w:lang w:val="en-US" w:eastAsia="en-US"/>
              </w:rPr>
              <w:t>Fhigh</w:t>
            </w:r>
            <w:proofErr w:type="spellEnd"/>
          </w:p>
        </w:tc>
        <w:tc>
          <w:tcPr>
            <w:tcW w:w="11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45E4E8" w14:textId="57232A8D"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BW</w:t>
            </w:r>
          </w:p>
        </w:tc>
        <w:tc>
          <w:tcPr>
            <w:tcW w:w="35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6B915E"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Observations</w:t>
            </w:r>
          </w:p>
        </w:tc>
      </w:tr>
      <w:tr w:rsidR="004F1136" w:rsidRPr="004F1136" w14:paraId="1D476DA8" w14:textId="77777777" w:rsidTr="004F1136">
        <w:trPr>
          <w:trHeight w:val="70"/>
          <w:jc w:val="center"/>
        </w:trPr>
        <w:tc>
          <w:tcPr>
            <w:tcW w:w="1420" w:type="dxa"/>
            <w:vMerge/>
            <w:tcBorders>
              <w:top w:val="single" w:sz="4" w:space="0" w:color="auto"/>
              <w:left w:val="single" w:sz="4" w:space="0" w:color="auto"/>
              <w:bottom w:val="single" w:sz="4" w:space="0" w:color="auto"/>
              <w:right w:val="single" w:sz="4" w:space="0" w:color="auto"/>
            </w:tcBorders>
            <w:vAlign w:val="center"/>
            <w:hideMark/>
          </w:tcPr>
          <w:p w14:paraId="5645869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64" w:type="dxa"/>
            <w:tcBorders>
              <w:top w:val="nil"/>
              <w:left w:val="nil"/>
              <w:bottom w:val="single" w:sz="4" w:space="0" w:color="auto"/>
              <w:right w:val="single" w:sz="4" w:space="0" w:color="auto"/>
            </w:tcBorders>
            <w:shd w:val="clear" w:color="auto" w:fill="auto"/>
            <w:noWrap/>
            <w:vAlign w:val="bottom"/>
            <w:hideMark/>
          </w:tcPr>
          <w:p w14:paraId="444A52C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MHz</w:t>
            </w:r>
          </w:p>
        </w:tc>
        <w:tc>
          <w:tcPr>
            <w:tcW w:w="620" w:type="dxa"/>
            <w:tcBorders>
              <w:top w:val="nil"/>
              <w:left w:val="nil"/>
              <w:bottom w:val="single" w:sz="4" w:space="0" w:color="auto"/>
              <w:right w:val="single" w:sz="4" w:space="0" w:color="auto"/>
            </w:tcBorders>
            <w:shd w:val="clear" w:color="auto" w:fill="auto"/>
            <w:noWrap/>
            <w:vAlign w:val="bottom"/>
            <w:hideMark/>
          </w:tcPr>
          <w:p w14:paraId="7255C3E0"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MHz</w:t>
            </w:r>
          </w:p>
        </w:tc>
        <w:tc>
          <w:tcPr>
            <w:tcW w:w="554" w:type="dxa"/>
            <w:tcBorders>
              <w:top w:val="nil"/>
              <w:left w:val="nil"/>
              <w:bottom w:val="single" w:sz="4" w:space="0" w:color="auto"/>
              <w:right w:val="single" w:sz="4" w:space="0" w:color="auto"/>
            </w:tcBorders>
            <w:shd w:val="clear" w:color="auto" w:fill="auto"/>
            <w:noWrap/>
            <w:vAlign w:val="bottom"/>
            <w:hideMark/>
          </w:tcPr>
          <w:p w14:paraId="5F485BB0"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MHz</w:t>
            </w:r>
          </w:p>
        </w:tc>
        <w:tc>
          <w:tcPr>
            <w:tcW w:w="573" w:type="dxa"/>
            <w:tcBorders>
              <w:top w:val="nil"/>
              <w:left w:val="nil"/>
              <w:bottom w:val="single" w:sz="4" w:space="0" w:color="auto"/>
              <w:right w:val="single" w:sz="4" w:space="0" w:color="auto"/>
            </w:tcBorders>
            <w:shd w:val="clear" w:color="auto" w:fill="auto"/>
            <w:noWrap/>
            <w:vAlign w:val="bottom"/>
            <w:hideMark/>
          </w:tcPr>
          <w:p w14:paraId="75F25DC1"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w:t>
            </w:r>
          </w:p>
        </w:tc>
        <w:tc>
          <w:tcPr>
            <w:tcW w:w="3500" w:type="dxa"/>
            <w:vMerge/>
            <w:tcBorders>
              <w:top w:val="single" w:sz="4" w:space="0" w:color="auto"/>
              <w:left w:val="single" w:sz="4" w:space="0" w:color="auto"/>
              <w:bottom w:val="single" w:sz="4" w:space="0" w:color="auto"/>
              <w:right w:val="single" w:sz="4" w:space="0" w:color="auto"/>
            </w:tcBorders>
            <w:vAlign w:val="center"/>
            <w:hideMark/>
          </w:tcPr>
          <w:p w14:paraId="6E03A7C0"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F1136" w:rsidRPr="004F1136" w14:paraId="6F0AC4F5"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8469814" w14:textId="44DB60DD" w:rsidR="004F1136" w:rsidRPr="004F1136" w:rsidRDefault="004F1136" w:rsidP="004F1136">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4F1136">
              <w:rPr>
                <w:rFonts w:asciiTheme="minorHAnsi" w:hAnsiTheme="minorHAnsi" w:cstheme="minorHAnsi"/>
                <w:b/>
                <w:bCs/>
                <w:color w:val="000000"/>
                <w:sz w:val="18"/>
                <w:szCs w:val="18"/>
                <w:lang w:val="en-US" w:eastAsia="en-US"/>
              </w:rPr>
              <w:t>n29+n12</w:t>
            </w:r>
            <w:r>
              <w:rPr>
                <w:rFonts w:asciiTheme="minorHAnsi" w:hAnsiTheme="minorHAnsi" w:cstheme="minorHAnsi"/>
                <w:b/>
                <w:bCs/>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noWrap/>
            <w:vAlign w:val="bottom"/>
            <w:hideMark/>
          </w:tcPr>
          <w:p w14:paraId="27450D23"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717</w:t>
            </w:r>
          </w:p>
        </w:tc>
        <w:tc>
          <w:tcPr>
            <w:tcW w:w="620" w:type="dxa"/>
            <w:tcBorders>
              <w:top w:val="nil"/>
              <w:left w:val="nil"/>
              <w:bottom w:val="single" w:sz="4" w:space="0" w:color="auto"/>
              <w:right w:val="single" w:sz="4" w:space="0" w:color="auto"/>
            </w:tcBorders>
            <w:shd w:val="clear" w:color="auto" w:fill="auto"/>
            <w:noWrap/>
            <w:vAlign w:val="bottom"/>
            <w:hideMark/>
          </w:tcPr>
          <w:p w14:paraId="1F15B156"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746</w:t>
            </w:r>
          </w:p>
        </w:tc>
        <w:tc>
          <w:tcPr>
            <w:tcW w:w="554" w:type="dxa"/>
            <w:tcBorders>
              <w:top w:val="nil"/>
              <w:left w:val="nil"/>
              <w:bottom w:val="single" w:sz="4" w:space="0" w:color="auto"/>
              <w:right w:val="single" w:sz="4" w:space="0" w:color="auto"/>
            </w:tcBorders>
            <w:shd w:val="clear" w:color="auto" w:fill="auto"/>
            <w:noWrap/>
            <w:vAlign w:val="bottom"/>
            <w:hideMark/>
          </w:tcPr>
          <w:p w14:paraId="1E40FDD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29</w:t>
            </w:r>
          </w:p>
        </w:tc>
        <w:tc>
          <w:tcPr>
            <w:tcW w:w="573" w:type="dxa"/>
            <w:tcBorders>
              <w:top w:val="nil"/>
              <w:left w:val="nil"/>
              <w:bottom w:val="single" w:sz="4" w:space="0" w:color="auto"/>
              <w:right w:val="single" w:sz="4" w:space="0" w:color="auto"/>
            </w:tcBorders>
            <w:shd w:val="clear" w:color="auto" w:fill="auto"/>
            <w:noWrap/>
            <w:vAlign w:val="bottom"/>
            <w:hideMark/>
          </w:tcPr>
          <w:p w14:paraId="3E580E6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4.0%</w:t>
            </w:r>
          </w:p>
        </w:tc>
        <w:tc>
          <w:tcPr>
            <w:tcW w:w="3500" w:type="dxa"/>
            <w:tcBorders>
              <w:top w:val="nil"/>
              <w:left w:val="nil"/>
              <w:bottom w:val="single" w:sz="4" w:space="0" w:color="auto"/>
              <w:right w:val="single" w:sz="4" w:space="0" w:color="auto"/>
            </w:tcBorders>
            <w:shd w:val="clear" w:color="auto" w:fill="auto"/>
            <w:noWrap/>
            <w:vAlign w:val="bottom"/>
            <w:hideMark/>
          </w:tcPr>
          <w:p w14:paraId="532C8C2F" w14:textId="3282D8EE" w:rsidR="004F1136" w:rsidRPr="004F1136" w:rsidRDefault="009C0BE0"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L</w:t>
            </w:r>
            <w:r w:rsidR="004F1136" w:rsidRPr="004F1136">
              <w:rPr>
                <w:rFonts w:asciiTheme="minorHAnsi" w:hAnsiTheme="minorHAnsi" w:cstheme="minorHAnsi"/>
                <w:color w:val="000000"/>
                <w:sz w:val="18"/>
                <w:szCs w:val="18"/>
                <w:lang w:val="en-US" w:eastAsia="en-US"/>
              </w:rPr>
              <w:t>ower BW than current LB worst case</w:t>
            </w:r>
          </w:p>
        </w:tc>
      </w:tr>
      <w:tr w:rsidR="004F1136" w:rsidRPr="004F1136" w14:paraId="0BA8B074"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B32DBB3" w14:textId="72B620AD" w:rsidR="004F1136" w:rsidRPr="004F1136" w:rsidRDefault="004F1136" w:rsidP="004F1136">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4F1136">
              <w:rPr>
                <w:rFonts w:asciiTheme="minorHAnsi" w:hAnsiTheme="minorHAnsi" w:cstheme="minorHAnsi"/>
                <w:b/>
                <w:bCs/>
                <w:color w:val="000000"/>
                <w:sz w:val="18"/>
                <w:szCs w:val="18"/>
                <w:lang w:val="en-US" w:eastAsia="en-US"/>
              </w:rPr>
              <w:t>n67+n28F</w:t>
            </w:r>
            <w:r>
              <w:rPr>
                <w:rFonts w:asciiTheme="minorHAnsi" w:hAnsiTheme="minorHAnsi" w:cstheme="minorHAnsi"/>
                <w:b/>
                <w:bCs/>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noWrap/>
            <w:vAlign w:val="bottom"/>
            <w:hideMark/>
          </w:tcPr>
          <w:p w14:paraId="39231CB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738</w:t>
            </w:r>
          </w:p>
        </w:tc>
        <w:tc>
          <w:tcPr>
            <w:tcW w:w="620" w:type="dxa"/>
            <w:tcBorders>
              <w:top w:val="nil"/>
              <w:left w:val="nil"/>
              <w:bottom w:val="single" w:sz="4" w:space="0" w:color="auto"/>
              <w:right w:val="single" w:sz="4" w:space="0" w:color="auto"/>
            </w:tcBorders>
            <w:shd w:val="clear" w:color="auto" w:fill="auto"/>
            <w:noWrap/>
            <w:vAlign w:val="bottom"/>
            <w:hideMark/>
          </w:tcPr>
          <w:p w14:paraId="1310BB1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803</w:t>
            </w:r>
          </w:p>
        </w:tc>
        <w:tc>
          <w:tcPr>
            <w:tcW w:w="554" w:type="dxa"/>
            <w:tcBorders>
              <w:top w:val="nil"/>
              <w:left w:val="nil"/>
              <w:bottom w:val="single" w:sz="4" w:space="0" w:color="auto"/>
              <w:right w:val="single" w:sz="4" w:space="0" w:color="auto"/>
            </w:tcBorders>
            <w:shd w:val="clear" w:color="auto" w:fill="auto"/>
            <w:noWrap/>
            <w:vAlign w:val="bottom"/>
            <w:hideMark/>
          </w:tcPr>
          <w:p w14:paraId="03E761AB"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65</w:t>
            </w:r>
          </w:p>
        </w:tc>
        <w:tc>
          <w:tcPr>
            <w:tcW w:w="573" w:type="dxa"/>
            <w:tcBorders>
              <w:top w:val="nil"/>
              <w:left w:val="nil"/>
              <w:bottom w:val="single" w:sz="4" w:space="0" w:color="auto"/>
              <w:right w:val="single" w:sz="4" w:space="0" w:color="auto"/>
            </w:tcBorders>
            <w:shd w:val="clear" w:color="auto" w:fill="auto"/>
            <w:noWrap/>
            <w:vAlign w:val="bottom"/>
            <w:hideMark/>
          </w:tcPr>
          <w:p w14:paraId="5E9A8295"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8.4%</w:t>
            </w:r>
          </w:p>
        </w:tc>
        <w:tc>
          <w:tcPr>
            <w:tcW w:w="3500" w:type="dxa"/>
            <w:tcBorders>
              <w:top w:val="nil"/>
              <w:left w:val="nil"/>
              <w:bottom w:val="single" w:sz="4" w:space="0" w:color="auto"/>
              <w:right w:val="single" w:sz="4" w:space="0" w:color="auto"/>
            </w:tcBorders>
            <w:shd w:val="clear" w:color="auto" w:fill="auto"/>
            <w:noWrap/>
            <w:vAlign w:val="bottom"/>
            <w:hideMark/>
          </w:tcPr>
          <w:p w14:paraId="68908770"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New largest BW in LB</w:t>
            </w:r>
          </w:p>
        </w:tc>
      </w:tr>
      <w:tr w:rsidR="004F1136" w:rsidRPr="004F1136" w14:paraId="3182BAAF"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18600AB" w14:textId="22C9E275" w:rsidR="004F1136" w:rsidRPr="004F1136" w:rsidRDefault="004F1136" w:rsidP="004F1136">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4F1136">
              <w:rPr>
                <w:rFonts w:asciiTheme="minorHAnsi" w:hAnsiTheme="minorHAnsi" w:cstheme="minorHAnsi"/>
                <w:b/>
                <w:bCs/>
                <w:color w:val="000000"/>
                <w:sz w:val="18"/>
                <w:szCs w:val="18"/>
                <w:lang w:val="en-US" w:eastAsia="en-US"/>
              </w:rPr>
              <w:t>n67+n28A</w:t>
            </w:r>
            <w:r>
              <w:rPr>
                <w:rFonts w:asciiTheme="minorHAnsi" w:hAnsiTheme="minorHAnsi" w:cstheme="minorHAnsi"/>
                <w:b/>
                <w:bCs/>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noWrap/>
            <w:vAlign w:val="bottom"/>
            <w:hideMark/>
          </w:tcPr>
          <w:p w14:paraId="6CD4989A"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738</w:t>
            </w:r>
          </w:p>
        </w:tc>
        <w:tc>
          <w:tcPr>
            <w:tcW w:w="620" w:type="dxa"/>
            <w:tcBorders>
              <w:top w:val="nil"/>
              <w:left w:val="nil"/>
              <w:bottom w:val="single" w:sz="4" w:space="0" w:color="auto"/>
              <w:right w:val="single" w:sz="4" w:space="0" w:color="auto"/>
            </w:tcBorders>
            <w:shd w:val="clear" w:color="auto" w:fill="auto"/>
            <w:noWrap/>
            <w:vAlign w:val="bottom"/>
            <w:hideMark/>
          </w:tcPr>
          <w:p w14:paraId="32EF4F25"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788</w:t>
            </w:r>
          </w:p>
        </w:tc>
        <w:tc>
          <w:tcPr>
            <w:tcW w:w="554" w:type="dxa"/>
            <w:tcBorders>
              <w:top w:val="nil"/>
              <w:left w:val="nil"/>
              <w:bottom w:val="single" w:sz="4" w:space="0" w:color="auto"/>
              <w:right w:val="single" w:sz="4" w:space="0" w:color="auto"/>
            </w:tcBorders>
            <w:shd w:val="clear" w:color="auto" w:fill="auto"/>
            <w:noWrap/>
            <w:vAlign w:val="bottom"/>
            <w:hideMark/>
          </w:tcPr>
          <w:p w14:paraId="21BC1A61"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50</w:t>
            </w:r>
          </w:p>
        </w:tc>
        <w:tc>
          <w:tcPr>
            <w:tcW w:w="573" w:type="dxa"/>
            <w:tcBorders>
              <w:top w:val="nil"/>
              <w:left w:val="nil"/>
              <w:bottom w:val="single" w:sz="4" w:space="0" w:color="auto"/>
              <w:right w:val="single" w:sz="4" w:space="0" w:color="auto"/>
            </w:tcBorders>
            <w:shd w:val="clear" w:color="auto" w:fill="auto"/>
            <w:noWrap/>
            <w:vAlign w:val="bottom"/>
            <w:hideMark/>
          </w:tcPr>
          <w:p w14:paraId="484CD035"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6.6%</w:t>
            </w:r>
          </w:p>
        </w:tc>
        <w:tc>
          <w:tcPr>
            <w:tcW w:w="3500" w:type="dxa"/>
            <w:tcBorders>
              <w:top w:val="nil"/>
              <w:left w:val="nil"/>
              <w:bottom w:val="single" w:sz="4" w:space="0" w:color="auto"/>
              <w:right w:val="single" w:sz="4" w:space="0" w:color="auto"/>
            </w:tcBorders>
            <w:shd w:val="clear" w:color="auto" w:fill="auto"/>
            <w:noWrap/>
            <w:vAlign w:val="bottom"/>
            <w:hideMark/>
          </w:tcPr>
          <w:p w14:paraId="45DC5A58"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gramStart"/>
            <w:r w:rsidRPr="004F1136">
              <w:rPr>
                <w:rFonts w:asciiTheme="minorHAnsi" w:hAnsiTheme="minorHAnsi" w:cstheme="minorHAnsi"/>
                <w:color w:val="000000"/>
                <w:sz w:val="18"/>
                <w:szCs w:val="18"/>
                <w:lang w:val="en-US" w:eastAsia="en-US"/>
              </w:rPr>
              <w:t>Similar to</w:t>
            </w:r>
            <w:proofErr w:type="gramEnd"/>
            <w:r w:rsidRPr="004F1136">
              <w:rPr>
                <w:rFonts w:asciiTheme="minorHAnsi" w:hAnsiTheme="minorHAnsi" w:cstheme="minorHAnsi"/>
                <w:color w:val="000000"/>
                <w:sz w:val="18"/>
                <w:szCs w:val="18"/>
                <w:lang w:val="en-US" w:eastAsia="en-US"/>
              </w:rPr>
              <w:t xml:space="preserve"> current largest LB BW</w:t>
            </w:r>
          </w:p>
        </w:tc>
      </w:tr>
      <w:tr w:rsidR="004F1136" w:rsidRPr="009C0BE0" w14:paraId="7AC1537A"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7F40A7C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n105DL</w:t>
            </w:r>
          </w:p>
        </w:tc>
        <w:tc>
          <w:tcPr>
            <w:tcW w:w="564" w:type="dxa"/>
            <w:tcBorders>
              <w:top w:val="nil"/>
              <w:left w:val="nil"/>
              <w:bottom w:val="single" w:sz="4" w:space="0" w:color="auto"/>
              <w:right w:val="single" w:sz="4" w:space="0" w:color="auto"/>
            </w:tcBorders>
            <w:shd w:val="clear" w:color="auto" w:fill="auto"/>
            <w:noWrap/>
            <w:vAlign w:val="bottom"/>
            <w:hideMark/>
          </w:tcPr>
          <w:p w14:paraId="6E72A10A"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663</w:t>
            </w:r>
          </w:p>
        </w:tc>
        <w:tc>
          <w:tcPr>
            <w:tcW w:w="620" w:type="dxa"/>
            <w:tcBorders>
              <w:top w:val="nil"/>
              <w:left w:val="nil"/>
              <w:bottom w:val="single" w:sz="4" w:space="0" w:color="auto"/>
              <w:right w:val="single" w:sz="4" w:space="0" w:color="auto"/>
            </w:tcBorders>
            <w:shd w:val="clear" w:color="auto" w:fill="auto"/>
            <w:noWrap/>
            <w:vAlign w:val="bottom"/>
            <w:hideMark/>
          </w:tcPr>
          <w:p w14:paraId="3E98EBC0"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703</w:t>
            </w:r>
          </w:p>
        </w:tc>
        <w:tc>
          <w:tcPr>
            <w:tcW w:w="554" w:type="dxa"/>
            <w:tcBorders>
              <w:top w:val="nil"/>
              <w:left w:val="nil"/>
              <w:bottom w:val="single" w:sz="4" w:space="0" w:color="auto"/>
              <w:right w:val="single" w:sz="4" w:space="0" w:color="auto"/>
            </w:tcBorders>
            <w:shd w:val="clear" w:color="auto" w:fill="auto"/>
            <w:noWrap/>
            <w:vAlign w:val="bottom"/>
            <w:hideMark/>
          </w:tcPr>
          <w:p w14:paraId="0B990CFB"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40</w:t>
            </w:r>
          </w:p>
        </w:tc>
        <w:tc>
          <w:tcPr>
            <w:tcW w:w="573" w:type="dxa"/>
            <w:tcBorders>
              <w:top w:val="nil"/>
              <w:left w:val="nil"/>
              <w:bottom w:val="single" w:sz="4" w:space="0" w:color="auto"/>
              <w:right w:val="single" w:sz="4" w:space="0" w:color="auto"/>
            </w:tcBorders>
            <w:shd w:val="clear" w:color="auto" w:fill="auto"/>
            <w:noWrap/>
            <w:vAlign w:val="bottom"/>
            <w:hideMark/>
          </w:tcPr>
          <w:p w14:paraId="09939FB3"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5.9%</w:t>
            </w:r>
          </w:p>
        </w:tc>
        <w:tc>
          <w:tcPr>
            <w:tcW w:w="3500" w:type="dxa"/>
            <w:vMerge w:val="restart"/>
            <w:tcBorders>
              <w:top w:val="nil"/>
              <w:left w:val="single" w:sz="4" w:space="0" w:color="auto"/>
              <w:bottom w:val="single" w:sz="4" w:space="0" w:color="000000"/>
              <w:right w:val="single" w:sz="4" w:space="0" w:color="auto"/>
            </w:tcBorders>
            <w:shd w:val="clear" w:color="auto" w:fill="auto"/>
            <w:vAlign w:val="center"/>
            <w:hideMark/>
          </w:tcPr>
          <w:p w14:paraId="7F625770" w14:textId="3BDC684E" w:rsidR="004F1136" w:rsidRPr="004F1136" w:rsidRDefault="009C0BE0"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C</w:t>
            </w:r>
            <w:r w:rsidR="004F1136" w:rsidRPr="004F1136">
              <w:rPr>
                <w:rFonts w:asciiTheme="minorHAnsi" w:hAnsiTheme="minorHAnsi" w:cstheme="minorHAnsi"/>
                <w:color w:val="000000"/>
                <w:sz w:val="18"/>
                <w:szCs w:val="18"/>
                <w:lang w:val="en-US" w:eastAsia="en-US"/>
              </w:rPr>
              <w:t>ur</w:t>
            </w:r>
            <w:r>
              <w:rPr>
                <w:rFonts w:asciiTheme="minorHAnsi" w:hAnsiTheme="minorHAnsi" w:cstheme="minorHAnsi"/>
                <w:color w:val="000000"/>
                <w:sz w:val="18"/>
                <w:szCs w:val="18"/>
                <w:lang w:val="en-US" w:eastAsia="en-US"/>
              </w:rPr>
              <w:t>r</w:t>
            </w:r>
            <w:r w:rsidR="004F1136" w:rsidRPr="004F1136">
              <w:rPr>
                <w:rFonts w:asciiTheme="minorHAnsi" w:hAnsiTheme="minorHAnsi" w:cstheme="minorHAnsi"/>
                <w:color w:val="000000"/>
                <w:sz w:val="18"/>
                <w:szCs w:val="18"/>
                <w:lang w:val="en-US" w:eastAsia="en-US"/>
              </w:rPr>
              <w:t>ent worst case filter BW in LB (duplexers)</w:t>
            </w:r>
          </w:p>
        </w:tc>
      </w:tr>
      <w:tr w:rsidR="004F1136" w:rsidRPr="004F1136" w14:paraId="219E0FDC"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5AC6FD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n105UL</w:t>
            </w:r>
          </w:p>
        </w:tc>
        <w:tc>
          <w:tcPr>
            <w:tcW w:w="564" w:type="dxa"/>
            <w:tcBorders>
              <w:top w:val="nil"/>
              <w:left w:val="nil"/>
              <w:bottom w:val="single" w:sz="4" w:space="0" w:color="auto"/>
              <w:right w:val="single" w:sz="4" w:space="0" w:color="auto"/>
            </w:tcBorders>
            <w:shd w:val="clear" w:color="auto" w:fill="auto"/>
            <w:noWrap/>
            <w:vAlign w:val="bottom"/>
            <w:hideMark/>
          </w:tcPr>
          <w:p w14:paraId="234AB8E9"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612</w:t>
            </w:r>
          </w:p>
        </w:tc>
        <w:tc>
          <w:tcPr>
            <w:tcW w:w="620" w:type="dxa"/>
            <w:tcBorders>
              <w:top w:val="nil"/>
              <w:left w:val="nil"/>
              <w:bottom w:val="single" w:sz="4" w:space="0" w:color="auto"/>
              <w:right w:val="single" w:sz="4" w:space="0" w:color="auto"/>
            </w:tcBorders>
            <w:shd w:val="clear" w:color="auto" w:fill="auto"/>
            <w:noWrap/>
            <w:vAlign w:val="bottom"/>
            <w:hideMark/>
          </w:tcPr>
          <w:p w14:paraId="04A49286"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652</w:t>
            </w:r>
          </w:p>
        </w:tc>
        <w:tc>
          <w:tcPr>
            <w:tcW w:w="554" w:type="dxa"/>
            <w:tcBorders>
              <w:top w:val="nil"/>
              <w:left w:val="nil"/>
              <w:bottom w:val="single" w:sz="4" w:space="0" w:color="auto"/>
              <w:right w:val="single" w:sz="4" w:space="0" w:color="auto"/>
            </w:tcBorders>
            <w:shd w:val="clear" w:color="auto" w:fill="auto"/>
            <w:noWrap/>
            <w:vAlign w:val="bottom"/>
            <w:hideMark/>
          </w:tcPr>
          <w:p w14:paraId="3895C3EB"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40</w:t>
            </w:r>
          </w:p>
        </w:tc>
        <w:tc>
          <w:tcPr>
            <w:tcW w:w="573" w:type="dxa"/>
            <w:tcBorders>
              <w:top w:val="nil"/>
              <w:left w:val="nil"/>
              <w:bottom w:val="single" w:sz="4" w:space="0" w:color="auto"/>
              <w:right w:val="single" w:sz="4" w:space="0" w:color="auto"/>
            </w:tcBorders>
            <w:shd w:val="clear" w:color="auto" w:fill="auto"/>
            <w:noWrap/>
            <w:vAlign w:val="bottom"/>
            <w:hideMark/>
          </w:tcPr>
          <w:p w14:paraId="6489F2C6"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6.3%</w:t>
            </w:r>
          </w:p>
        </w:tc>
        <w:tc>
          <w:tcPr>
            <w:tcW w:w="3500" w:type="dxa"/>
            <w:vMerge/>
            <w:tcBorders>
              <w:top w:val="nil"/>
              <w:left w:val="single" w:sz="4" w:space="0" w:color="auto"/>
              <w:bottom w:val="single" w:sz="4" w:space="0" w:color="000000"/>
              <w:right w:val="single" w:sz="4" w:space="0" w:color="auto"/>
            </w:tcBorders>
            <w:vAlign w:val="center"/>
            <w:hideMark/>
          </w:tcPr>
          <w:p w14:paraId="1B337F0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F1136" w:rsidRPr="004F1136" w14:paraId="1036718B"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7D3213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n28UL</w:t>
            </w:r>
          </w:p>
        </w:tc>
        <w:tc>
          <w:tcPr>
            <w:tcW w:w="564" w:type="dxa"/>
            <w:tcBorders>
              <w:top w:val="nil"/>
              <w:left w:val="nil"/>
              <w:bottom w:val="single" w:sz="4" w:space="0" w:color="auto"/>
              <w:right w:val="single" w:sz="4" w:space="0" w:color="auto"/>
            </w:tcBorders>
            <w:shd w:val="clear" w:color="auto" w:fill="auto"/>
            <w:noWrap/>
            <w:vAlign w:val="bottom"/>
            <w:hideMark/>
          </w:tcPr>
          <w:p w14:paraId="09AF3BD1"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703</w:t>
            </w:r>
          </w:p>
        </w:tc>
        <w:tc>
          <w:tcPr>
            <w:tcW w:w="620" w:type="dxa"/>
            <w:tcBorders>
              <w:top w:val="nil"/>
              <w:left w:val="nil"/>
              <w:bottom w:val="single" w:sz="4" w:space="0" w:color="auto"/>
              <w:right w:val="single" w:sz="4" w:space="0" w:color="auto"/>
            </w:tcBorders>
            <w:shd w:val="clear" w:color="auto" w:fill="auto"/>
            <w:noWrap/>
            <w:vAlign w:val="bottom"/>
            <w:hideMark/>
          </w:tcPr>
          <w:p w14:paraId="229670CF"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748</w:t>
            </w:r>
          </w:p>
        </w:tc>
        <w:tc>
          <w:tcPr>
            <w:tcW w:w="554" w:type="dxa"/>
            <w:tcBorders>
              <w:top w:val="nil"/>
              <w:left w:val="nil"/>
              <w:bottom w:val="single" w:sz="4" w:space="0" w:color="auto"/>
              <w:right w:val="single" w:sz="4" w:space="0" w:color="auto"/>
            </w:tcBorders>
            <w:shd w:val="clear" w:color="auto" w:fill="auto"/>
            <w:noWrap/>
            <w:vAlign w:val="bottom"/>
            <w:hideMark/>
          </w:tcPr>
          <w:p w14:paraId="00726B4D"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45</w:t>
            </w:r>
          </w:p>
        </w:tc>
        <w:tc>
          <w:tcPr>
            <w:tcW w:w="573" w:type="dxa"/>
            <w:tcBorders>
              <w:top w:val="nil"/>
              <w:left w:val="nil"/>
              <w:bottom w:val="single" w:sz="4" w:space="0" w:color="auto"/>
              <w:right w:val="single" w:sz="4" w:space="0" w:color="auto"/>
            </w:tcBorders>
            <w:shd w:val="clear" w:color="auto" w:fill="auto"/>
            <w:noWrap/>
            <w:vAlign w:val="bottom"/>
            <w:hideMark/>
          </w:tcPr>
          <w:p w14:paraId="408B21FE"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6.2%</w:t>
            </w:r>
          </w:p>
        </w:tc>
        <w:tc>
          <w:tcPr>
            <w:tcW w:w="3500" w:type="dxa"/>
            <w:vMerge/>
            <w:tcBorders>
              <w:top w:val="nil"/>
              <w:left w:val="single" w:sz="4" w:space="0" w:color="auto"/>
              <w:bottom w:val="single" w:sz="4" w:space="0" w:color="000000"/>
              <w:right w:val="single" w:sz="4" w:space="0" w:color="auto"/>
            </w:tcBorders>
            <w:vAlign w:val="center"/>
            <w:hideMark/>
          </w:tcPr>
          <w:p w14:paraId="34A3EFE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F1136" w:rsidRPr="004F1136" w14:paraId="2F0AD51E" w14:textId="77777777" w:rsidTr="004F1136">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3AE9D11"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n28DL</w:t>
            </w:r>
          </w:p>
        </w:tc>
        <w:tc>
          <w:tcPr>
            <w:tcW w:w="564" w:type="dxa"/>
            <w:tcBorders>
              <w:top w:val="nil"/>
              <w:left w:val="nil"/>
              <w:bottom w:val="single" w:sz="4" w:space="0" w:color="auto"/>
              <w:right w:val="single" w:sz="4" w:space="0" w:color="auto"/>
            </w:tcBorders>
            <w:shd w:val="clear" w:color="auto" w:fill="auto"/>
            <w:noWrap/>
            <w:vAlign w:val="bottom"/>
            <w:hideMark/>
          </w:tcPr>
          <w:p w14:paraId="2CCC582A"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758</w:t>
            </w:r>
          </w:p>
        </w:tc>
        <w:tc>
          <w:tcPr>
            <w:tcW w:w="620" w:type="dxa"/>
            <w:tcBorders>
              <w:top w:val="nil"/>
              <w:left w:val="nil"/>
              <w:bottom w:val="single" w:sz="4" w:space="0" w:color="auto"/>
              <w:right w:val="single" w:sz="4" w:space="0" w:color="auto"/>
            </w:tcBorders>
            <w:shd w:val="clear" w:color="auto" w:fill="auto"/>
            <w:noWrap/>
            <w:vAlign w:val="bottom"/>
            <w:hideMark/>
          </w:tcPr>
          <w:p w14:paraId="365F0592"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803</w:t>
            </w:r>
          </w:p>
        </w:tc>
        <w:tc>
          <w:tcPr>
            <w:tcW w:w="554" w:type="dxa"/>
            <w:tcBorders>
              <w:top w:val="nil"/>
              <w:left w:val="nil"/>
              <w:bottom w:val="single" w:sz="4" w:space="0" w:color="auto"/>
              <w:right w:val="single" w:sz="4" w:space="0" w:color="auto"/>
            </w:tcBorders>
            <w:shd w:val="clear" w:color="auto" w:fill="auto"/>
            <w:noWrap/>
            <w:vAlign w:val="bottom"/>
            <w:hideMark/>
          </w:tcPr>
          <w:p w14:paraId="7665825C"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45</w:t>
            </w:r>
          </w:p>
        </w:tc>
        <w:tc>
          <w:tcPr>
            <w:tcW w:w="573" w:type="dxa"/>
            <w:tcBorders>
              <w:top w:val="nil"/>
              <w:left w:val="nil"/>
              <w:bottom w:val="single" w:sz="4" w:space="0" w:color="auto"/>
              <w:right w:val="single" w:sz="4" w:space="0" w:color="auto"/>
            </w:tcBorders>
            <w:shd w:val="clear" w:color="auto" w:fill="auto"/>
            <w:noWrap/>
            <w:vAlign w:val="bottom"/>
            <w:hideMark/>
          </w:tcPr>
          <w:p w14:paraId="2F46F8D6"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F1136">
              <w:rPr>
                <w:rFonts w:asciiTheme="minorHAnsi" w:hAnsiTheme="minorHAnsi" w:cstheme="minorHAnsi"/>
                <w:color w:val="000000"/>
                <w:sz w:val="18"/>
                <w:szCs w:val="18"/>
                <w:lang w:val="en-US" w:eastAsia="en-US"/>
              </w:rPr>
              <w:t>5.8%</w:t>
            </w:r>
          </w:p>
        </w:tc>
        <w:tc>
          <w:tcPr>
            <w:tcW w:w="3500" w:type="dxa"/>
            <w:vMerge/>
            <w:tcBorders>
              <w:top w:val="nil"/>
              <w:left w:val="single" w:sz="4" w:space="0" w:color="auto"/>
              <w:bottom w:val="single" w:sz="4" w:space="0" w:color="000000"/>
              <w:right w:val="single" w:sz="4" w:space="0" w:color="auto"/>
            </w:tcBorders>
            <w:vAlign w:val="center"/>
            <w:hideMark/>
          </w:tcPr>
          <w:p w14:paraId="50C4F57E" w14:textId="77777777" w:rsidR="004F1136" w:rsidRPr="004F1136" w:rsidRDefault="004F1136" w:rsidP="004F1136">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bl>
    <w:p w14:paraId="7D8C3721" w14:textId="77777777" w:rsidR="004F1136" w:rsidRDefault="004F1136" w:rsidP="004F1136">
      <w:pPr>
        <w:spacing w:after="0"/>
        <w:rPr>
          <w:rFonts w:eastAsia="Arial"/>
          <w:lang w:val="en-US"/>
        </w:rPr>
      </w:pPr>
    </w:p>
    <w:p w14:paraId="6E175E2E" w14:textId="1E9C191C" w:rsidR="004F1136" w:rsidRDefault="004F1136" w:rsidP="004F1136">
      <w:pPr>
        <w:spacing w:after="0"/>
        <w:rPr>
          <w:rFonts w:eastAsia="Arial"/>
          <w:b/>
          <w:bCs/>
          <w:lang w:val="en-US"/>
        </w:rPr>
      </w:pPr>
      <w:r w:rsidRPr="00441178">
        <w:rPr>
          <w:rFonts w:eastAsia="Arial"/>
          <w:b/>
          <w:bCs/>
          <w:lang w:val="en-US"/>
        </w:rPr>
        <w:t>Observation</w:t>
      </w:r>
      <w:r>
        <w:rPr>
          <w:rFonts w:eastAsia="Arial"/>
          <w:b/>
          <w:bCs/>
          <w:lang w:val="en-US"/>
        </w:rPr>
        <w:t>s</w:t>
      </w:r>
      <w:r w:rsidRPr="00441178">
        <w:rPr>
          <w:rFonts w:eastAsia="Arial"/>
          <w:b/>
          <w:bCs/>
          <w:lang w:val="en-US"/>
        </w:rPr>
        <w:t>:</w:t>
      </w:r>
    </w:p>
    <w:p w14:paraId="196D5900" w14:textId="36C8B7EB" w:rsidR="004F1136" w:rsidRPr="008937EC" w:rsidRDefault="004F1136" w:rsidP="008937EC">
      <w:pPr>
        <w:pStyle w:val="ListParagraph"/>
        <w:numPr>
          <w:ilvl w:val="0"/>
          <w:numId w:val="72"/>
        </w:numPr>
        <w:spacing w:after="0"/>
        <w:ind w:firstLineChars="0"/>
        <w:rPr>
          <w:rFonts w:eastAsia="Arial"/>
          <w:b/>
          <w:bCs/>
          <w:lang w:val="en-US"/>
        </w:rPr>
      </w:pPr>
      <w:r>
        <w:rPr>
          <w:rFonts w:eastAsia="Arial"/>
          <w:b/>
          <w:bCs/>
          <w:lang w:val="en-US"/>
        </w:rPr>
        <w:t xml:space="preserve">n29+n12DL bandwidth is smaller than current worst-case filters that are duplexer which have more demanding OOB </w:t>
      </w:r>
      <w:proofErr w:type="gramStart"/>
      <w:r>
        <w:rPr>
          <w:rFonts w:eastAsia="Arial"/>
          <w:b/>
          <w:bCs/>
          <w:lang w:val="en-US"/>
        </w:rPr>
        <w:t>rejections</w:t>
      </w:r>
      <w:r w:rsidR="008937EC">
        <w:rPr>
          <w:rFonts w:eastAsia="Arial"/>
          <w:b/>
          <w:bCs/>
          <w:lang w:val="en-US"/>
        </w:rPr>
        <w:t xml:space="preserve">  =</w:t>
      </w:r>
      <w:proofErr w:type="gramEnd"/>
      <w:r w:rsidR="008937EC">
        <w:rPr>
          <w:rFonts w:eastAsia="Arial"/>
          <w:b/>
          <w:bCs/>
          <w:lang w:val="en-US"/>
        </w:rPr>
        <w:t xml:space="preserve">&gt; </w:t>
      </w:r>
      <w:r w:rsidRPr="008937EC">
        <w:rPr>
          <w:rFonts w:eastAsia="Arial"/>
          <w:b/>
          <w:bCs/>
          <w:lang w:val="en-US"/>
        </w:rPr>
        <w:t>n29+n12DL</w:t>
      </w:r>
      <w:r w:rsidR="008937EC">
        <w:rPr>
          <w:rFonts w:eastAsia="Arial"/>
          <w:b/>
          <w:bCs/>
          <w:lang w:val="en-US"/>
        </w:rPr>
        <w:t xml:space="preserve"> filter</w:t>
      </w:r>
      <w:r w:rsidRPr="008937EC">
        <w:rPr>
          <w:rFonts w:eastAsia="Arial"/>
          <w:b/>
          <w:bCs/>
          <w:lang w:val="en-US"/>
        </w:rPr>
        <w:t xml:space="preserve"> is feasible</w:t>
      </w:r>
    </w:p>
    <w:p w14:paraId="2433FD63" w14:textId="6095A099" w:rsidR="008937EC" w:rsidRPr="008937EC" w:rsidRDefault="004F1136" w:rsidP="008937EC">
      <w:pPr>
        <w:pStyle w:val="ListParagraph"/>
        <w:numPr>
          <w:ilvl w:val="0"/>
          <w:numId w:val="72"/>
        </w:numPr>
        <w:spacing w:after="0"/>
        <w:ind w:firstLineChars="0"/>
        <w:rPr>
          <w:rFonts w:eastAsia="Arial"/>
          <w:b/>
          <w:bCs/>
          <w:lang w:val="en-US"/>
        </w:rPr>
      </w:pPr>
      <w:r>
        <w:rPr>
          <w:rFonts w:eastAsia="Arial"/>
          <w:b/>
          <w:bCs/>
          <w:lang w:val="en-US"/>
        </w:rPr>
        <w:t>n67+n28ADL bandwidth is similar than current worst-case filters that are duplexer which have more demanding OOB rejections</w:t>
      </w:r>
      <w:r w:rsidR="008937EC">
        <w:rPr>
          <w:rFonts w:eastAsia="Arial"/>
          <w:b/>
          <w:bCs/>
          <w:lang w:val="en-US"/>
        </w:rPr>
        <w:t xml:space="preserve"> =&gt; </w:t>
      </w:r>
      <w:r w:rsidRPr="008937EC">
        <w:rPr>
          <w:rFonts w:eastAsia="Arial"/>
          <w:b/>
          <w:bCs/>
          <w:lang w:val="en-US"/>
        </w:rPr>
        <w:t xml:space="preserve">n67+n28ADL </w:t>
      </w:r>
      <w:r w:rsidR="008937EC">
        <w:rPr>
          <w:rFonts w:eastAsia="Arial"/>
          <w:b/>
          <w:bCs/>
          <w:lang w:val="en-US"/>
        </w:rPr>
        <w:t xml:space="preserve">filter </w:t>
      </w:r>
      <w:r w:rsidRPr="008937EC">
        <w:rPr>
          <w:rFonts w:eastAsia="Arial"/>
          <w:b/>
          <w:bCs/>
          <w:lang w:val="en-US"/>
        </w:rPr>
        <w:t>is feasible</w:t>
      </w:r>
    </w:p>
    <w:p w14:paraId="24C180A8" w14:textId="3A5F254A" w:rsidR="008937EC" w:rsidRPr="008937EC" w:rsidRDefault="008937EC" w:rsidP="008937EC">
      <w:pPr>
        <w:pStyle w:val="ListParagraph"/>
        <w:numPr>
          <w:ilvl w:val="0"/>
          <w:numId w:val="72"/>
        </w:numPr>
        <w:spacing w:after="0"/>
        <w:ind w:firstLineChars="0"/>
        <w:rPr>
          <w:rFonts w:eastAsia="Arial"/>
          <w:b/>
          <w:bCs/>
          <w:lang w:val="en-US"/>
        </w:rPr>
      </w:pPr>
      <w:r>
        <w:rPr>
          <w:rFonts w:eastAsia="Arial"/>
          <w:b/>
          <w:bCs/>
          <w:lang w:val="en-US"/>
        </w:rPr>
        <w:t xml:space="preserve">n67+n28FDL bandwidth is 25% larger than current worst-case filters that are duplexer which have more demanding OOB rejections =&gt; although the OOB rejection is less demanding than for a duplexer the </w:t>
      </w:r>
      <w:r w:rsidRPr="008937EC">
        <w:rPr>
          <w:rFonts w:eastAsia="Arial"/>
          <w:b/>
          <w:bCs/>
          <w:lang w:val="en-US"/>
        </w:rPr>
        <w:t>feasibi</w:t>
      </w:r>
      <w:r>
        <w:rPr>
          <w:rFonts w:eastAsia="Arial"/>
          <w:b/>
          <w:bCs/>
          <w:lang w:val="en-US"/>
        </w:rPr>
        <w:t>lity of n67+n28FDL needs to be confirmed.</w:t>
      </w:r>
    </w:p>
    <w:p w14:paraId="366AE9C1" w14:textId="77777777" w:rsidR="004F1136" w:rsidRPr="004F1136" w:rsidRDefault="004F1136" w:rsidP="004F1136">
      <w:pPr>
        <w:spacing w:after="0"/>
        <w:rPr>
          <w:rFonts w:eastAsia="Arial"/>
          <w:b/>
          <w:bCs/>
          <w:lang w:val="en-US"/>
        </w:rPr>
      </w:pPr>
    </w:p>
    <w:p w14:paraId="137E4485" w14:textId="14D2ED36" w:rsidR="004F1136" w:rsidRDefault="008937EC" w:rsidP="004F1136">
      <w:pPr>
        <w:spacing w:after="0"/>
        <w:rPr>
          <w:rFonts w:eastAsia="Arial"/>
          <w:lang w:val="en-US"/>
        </w:rPr>
      </w:pPr>
      <w:r>
        <w:rPr>
          <w:rFonts w:eastAsia="Arial"/>
          <w:lang w:val="en-US"/>
        </w:rPr>
        <w:t xml:space="preserve">Based on the above, the architecture </w:t>
      </w:r>
      <w:r w:rsidR="00E43408">
        <w:rPr>
          <w:rFonts w:eastAsia="Arial"/>
          <w:lang w:val="en-US"/>
        </w:rPr>
        <w:t>for the support of switched LB CA_n12+n29 and CA_n12+n29</w:t>
      </w:r>
      <w:r w:rsidR="009963D2">
        <w:rPr>
          <w:rFonts w:eastAsia="Arial"/>
          <w:lang w:val="en-US"/>
        </w:rPr>
        <w:t xml:space="preserve"> is illustrated in Figure 2. </w:t>
      </w:r>
    </w:p>
    <w:p w14:paraId="54BF62CC" w14:textId="77777777" w:rsidR="009963D2" w:rsidRDefault="009963D2" w:rsidP="004F1136">
      <w:pPr>
        <w:spacing w:after="0"/>
        <w:rPr>
          <w:rFonts w:eastAsia="Arial"/>
          <w:lang w:val="en-US"/>
        </w:rPr>
      </w:pPr>
    </w:p>
    <w:p w14:paraId="63AE8CB4" w14:textId="10BE7728" w:rsidR="009963D2" w:rsidRDefault="001C5EF0" w:rsidP="009963D2">
      <w:pPr>
        <w:keepNext/>
        <w:spacing w:after="0"/>
        <w:jc w:val="center"/>
      </w:pPr>
      <w:r>
        <w:rPr>
          <w:noProof/>
        </w:rPr>
        <w:drawing>
          <wp:inline distT="0" distB="0" distL="0" distR="0" wp14:anchorId="6D85C34B" wp14:editId="093E28B8">
            <wp:extent cx="3876675" cy="1902021"/>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8681" cy="1907912"/>
                    </a:xfrm>
                    <a:prstGeom prst="rect">
                      <a:avLst/>
                    </a:prstGeom>
                    <a:noFill/>
                  </pic:spPr>
                </pic:pic>
              </a:graphicData>
            </a:graphic>
          </wp:inline>
        </w:drawing>
      </w:r>
    </w:p>
    <w:p w14:paraId="62346D64" w14:textId="721DE948" w:rsidR="009963D2" w:rsidRDefault="009963D2" w:rsidP="009963D2">
      <w:pPr>
        <w:pStyle w:val="Caption"/>
      </w:pPr>
      <w:r>
        <w:t xml:space="preserve">Figure </w:t>
      </w:r>
      <w:r>
        <w:fldChar w:fldCharType="begin"/>
      </w:r>
      <w:r>
        <w:instrText xml:space="preserve"> SEQ Figure \* ARABIC </w:instrText>
      </w:r>
      <w:r>
        <w:fldChar w:fldCharType="separate"/>
      </w:r>
      <w:r w:rsidR="001C5EF0">
        <w:rPr>
          <w:noProof/>
        </w:rPr>
        <w:t>2</w:t>
      </w:r>
      <w:r>
        <w:fldChar w:fldCharType="end"/>
      </w:r>
      <w:r>
        <w:t>: RF front-end architecture to support switching CA between FDD DL+UL and adjacent FDD DL + SDL</w:t>
      </w:r>
      <w:r w:rsidR="001C5EF0">
        <w:t xml:space="preserve"> bands</w:t>
      </w:r>
    </w:p>
    <w:p w14:paraId="7AE2F0D4" w14:textId="6D839EFE" w:rsidR="001C5EF0" w:rsidRDefault="001C5EF0" w:rsidP="001C5EF0">
      <w:pPr>
        <w:spacing w:after="0"/>
        <w:rPr>
          <w:rFonts w:eastAsia="Arial"/>
          <w:lang w:val="en-US"/>
        </w:rPr>
      </w:pPr>
      <w:r>
        <w:rPr>
          <w:rFonts w:eastAsia="Arial"/>
          <w:lang w:val="en-US"/>
        </w:rPr>
        <w:t xml:space="preserve">It should be noted that this architecture can only be used if the SDL and FDD DL band are adjacent or in very close proximity. If the SDL band and the FDD DL band have a </w:t>
      </w:r>
      <w:r w:rsidR="009C0BE0">
        <w:rPr>
          <w:rFonts w:eastAsia="Arial"/>
          <w:lang w:val="en-US"/>
        </w:rPr>
        <w:t xml:space="preserve">frequency </w:t>
      </w:r>
      <w:r>
        <w:rPr>
          <w:rFonts w:eastAsia="Arial"/>
          <w:lang w:val="en-US"/>
        </w:rPr>
        <w:t xml:space="preserve">gap, like for example for </w:t>
      </w:r>
      <w:r w:rsidR="009C0BE0">
        <w:rPr>
          <w:rFonts w:eastAsia="Arial"/>
          <w:lang w:val="en-US"/>
        </w:rPr>
        <w:t>B</w:t>
      </w:r>
      <w:r>
        <w:rPr>
          <w:rFonts w:eastAsia="Arial"/>
          <w:lang w:val="en-US"/>
        </w:rPr>
        <w:t xml:space="preserve">and n5 and </w:t>
      </w:r>
      <w:r w:rsidR="009C0BE0">
        <w:rPr>
          <w:rFonts w:eastAsia="Arial"/>
          <w:lang w:val="en-US"/>
        </w:rPr>
        <w:t>B</w:t>
      </w:r>
      <w:r>
        <w:rPr>
          <w:rFonts w:eastAsia="Arial"/>
          <w:lang w:val="en-US"/>
        </w:rPr>
        <w:t>and n29, the two DL band will require two separate filters that will need to be duplexed. This other case is illustrated in Figure 3.</w:t>
      </w:r>
    </w:p>
    <w:p w14:paraId="68997C67" w14:textId="77777777" w:rsidR="001C5EF0" w:rsidRDefault="001C5EF0" w:rsidP="001C5EF0">
      <w:pPr>
        <w:spacing w:after="0"/>
        <w:rPr>
          <w:rFonts w:eastAsia="Arial"/>
          <w:lang w:val="en-US"/>
        </w:rPr>
      </w:pPr>
    </w:p>
    <w:p w14:paraId="0336373E" w14:textId="5B4A6388" w:rsidR="001C5EF0" w:rsidRDefault="003661DB" w:rsidP="001C5EF0">
      <w:pPr>
        <w:keepNext/>
        <w:spacing w:after="0"/>
        <w:jc w:val="center"/>
      </w:pPr>
      <w:r>
        <w:rPr>
          <w:noProof/>
        </w:rPr>
        <w:drawing>
          <wp:inline distT="0" distB="0" distL="0" distR="0" wp14:anchorId="46A906EA" wp14:editId="42358E9E">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7BDEF217" w14:textId="5886D3D0" w:rsidR="001C5EF0" w:rsidRDefault="001C5EF0" w:rsidP="001C5EF0">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RF front-end architecture to support switching CA between FDD DL+UL and </w:t>
      </w:r>
      <w:r w:rsidR="003661DB">
        <w:t>separate</w:t>
      </w:r>
      <w:r>
        <w:t xml:space="preserve"> FDD DL + SDL bands</w:t>
      </w:r>
    </w:p>
    <w:p w14:paraId="18347BDC" w14:textId="76CB3AC9" w:rsidR="001C5EF0" w:rsidRPr="001C5EF0" w:rsidRDefault="001C5EF0" w:rsidP="001C5EF0">
      <w:pPr>
        <w:rPr>
          <w:lang w:val="en-US"/>
        </w:rPr>
      </w:pPr>
      <w:r>
        <w:rPr>
          <w:lang w:val="en-US"/>
        </w:rPr>
        <w:lastRenderedPageBreak/>
        <w:t xml:space="preserve">As can be observed there are significant differences between the two cases. The case in Figure </w:t>
      </w:r>
      <w:r w:rsidR="003661DB">
        <w:rPr>
          <w:lang w:val="en-US"/>
        </w:rPr>
        <w:t xml:space="preserve">3 could also be supported with a FDD UL + FDD DL + SDL triplexer but there would </w:t>
      </w:r>
      <w:r w:rsidR="009C0BE0">
        <w:rPr>
          <w:lang w:val="en-US"/>
        </w:rPr>
        <w:t xml:space="preserve">then </w:t>
      </w:r>
      <w:r w:rsidR="003661DB">
        <w:rPr>
          <w:lang w:val="en-US"/>
        </w:rPr>
        <w:t>be no reason to use LBLB switching.</w:t>
      </w:r>
    </w:p>
    <w:p w14:paraId="764FDEB7" w14:textId="5964577B" w:rsidR="009963D2" w:rsidRPr="009963D2" w:rsidRDefault="009963D2" w:rsidP="009963D2">
      <w:pPr>
        <w:spacing w:after="0"/>
        <w:rPr>
          <w:rFonts w:eastAsia="Arial"/>
          <w:b/>
          <w:bCs/>
          <w:lang w:val="en-US"/>
        </w:rPr>
      </w:pPr>
      <w:r w:rsidRPr="009963D2">
        <w:rPr>
          <w:rFonts w:eastAsia="Arial"/>
          <w:b/>
          <w:bCs/>
          <w:lang w:val="en-US"/>
        </w:rPr>
        <w:t>Proposal:</w:t>
      </w:r>
    </w:p>
    <w:p w14:paraId="4BD1A812" w14:textId="75A46155" w:rsidR="009963D2" w:rsidRDefault="009963D2" w:rsidP="009963D2">
      <w:pPr>
        <w:pStyle w:val="ListParagraph"/>
        <w:numPr>
          <w:ilvl w:val="0"/>
          <w:numId w:val="75"/>
        </w:numPr>
        <w:spacing w:after="0"/>
        <w:ind w:firstLineChars="0"/>
        <w:rPr>
          <w:rFonts w:eastAsia="Arial"/>
          <w:b/>
          <w:bCs/>
          <w:lang w:val="en-US"/>
        </w:rPr>
      </w:pPr>
      <w:r w:rsidRPr="009963D2">
        <w:rPr>
          <w:rFonts w:eastAsia="Arial"/>
          <w:b/>
          <w:bCs/>
          <w:lang w:val="en-US"/>
        </w:rPr>
        <w:t>Requirements are developed based on a two-antenna architecture and a combined FDD DL+SDL filter</w:t>
      </w:r>
      <w:r>
        <w:rPr>
          <w:rFonts w:eastAsia="Arial"/>
          <w:b/>
          <w:bCs/>
          <w:lang w:val="en-US"/>
        </w:rPr>
        <w:t xml:space="preserve"> b</w:t>
      </w:r>
      <w:r w:rsidRPr="009963D2">
        <w:rPr>
          <w:rFonts w:eastAsia="Arial"/>
          <w:b/>
          <w:bCs/>
          <w:lang w:val="en-US"/>
        </w:rPr>
        <w:t>ased on example bands where the FDD DL and SDL bands are adjacent</w:t>
      </w:r>
      <w:r>
        <w:rPr>
          <w:rFonts w:eastAsia="Arial"/>
          <w:b/>
          <w:bCs/>
          <w:lang w:val="en-US"/>
        </w:rPr>
        <w:t>.</w:t>
      </w:r>
    </w:p>
    <w:p w14:paraId="058550E6" w14:textId="789F84D8" w:rsidR="003661DB" w:rsidRDefault="003661DB" w:rsidP="003661DB">
      <w:pPr>
        <w:pStyle w:val="ListParagraph"/>
        <w:numPr>
          <w:ilvl w:val="1"/>
          <w:numId w:val="75"/>
        </w:numPr>
        <w:spacing w:after="0"/>
        <w:ind w:firstLineChars="0"/>
        <w:rPr>
          <w:rFonts w:eastAsia="Arial"/>
          <w:b/>
          <w:bCs/>
          <w:lang w:val="en-US"/>
        </w:rPr>
      </w:pPr>
      <w:r>
        <w:rPr>
          <w:rFonts w:eastAsia="Arial"/>
          <w:b/>
          <w:bCs/>
          <w:lang w:val="en-US"/>
        </w:rPr>
        <w:t xml:space="preserve">The post LNA FDD DL and SDL band separation is not the not the default implementation and may also need to be considered in the requirements. </w:t>
      </w:r>
    </w:p>
    <w:p w14:paraId="5D6FB172" w14:textId="4950373B" w:rsidR="009963D2" w:rsidRPr="009963D2" w:rsidRDefault="009963D2" w:rsidP="009963D2">
      <w:pPr>
        <w:pStyle w:val="ListParagraph"/>
        <w:numPr>
          <w:ilvl w:val="0"/>
          <w:numId w:val="75"/>
        </w:numPr>
        <w:spacing w:after="0"/>
        <w:ind w:firstLineChars="0"/>
        <w:rPr>
          <w:rFonts w:eastAsia="Arial"/>
          <w:b/>
          <w:bCs/>
          <w:lang w:val="en-US"/>
        </w:rPr>
      </w:pPr>
      <w:r>
        <w:rPr>
          <w:rFonts w:eastAsia="Arial"/>
          <w:b/>
          <w:bCs/>
          <w:lang w:val="en-US"/>
        </w:rPr>
        <w:t xml:space="preserve">For the feature to be applicable to other LBLB case, </w:t>
      </w:r>
      <w:r w:rsidR="009C0BE0">
        <w:rPr>
          <w:rFonts w:eastAsia="Arial"/>
          <w:b/>
          <w:bCs/>
          <w:lang w:val="en-US"/>
        </w:rPr>
        <w:t>there</w:t>
      </w:r>
      <w:r>
        <w:rPr>
          <w:rFonts w:eastAsia="Arial"/>
          <w:b/>
          <w:bCs/>
          <w:lang w:val="en-US"/>
        </w:rPr>
        <w:t xml:space="preserve"> may be</w:t>
      </w:r>
      <w:r w:rsidR="009C0BE0">
        <w:rPr>
          <w:rFonts w:eastAsia="Arial"/>
          <w:b/>
          <w:bCs/>
          <w:lang w:val="en-US"/>
        </w:rPr>
        <w:t xml:space="preserve"> a</w:t>
      </w:r>
      <w:r>
        <w:rPr>
          <w:rFonts w:eastAsia="Arial"/>
          <w:b/>
          <w:bCs/>
          <w:lang w:val="en-US"/>
        </w:rPr>
        <w:t xml:space="preserve"> need to </w:t>
      </w:r>
      <w:r w:rsidR="009C0BE0">
        <w:rPr>
          <w:rFonts w:eastAsia="Arial"/>
          <w:b/>
          <w:bCs/>
          <w:lang w:val="en-US"/>
        </w:rPr>
        <w:t>be</w:t>
      </w:r>
      <w:r>
        <w:rPr>
          <w:rFonts w:eastAsia="Arial"/>
          <w:b/>
          <w:bCs/>
          <w:lang w:val="en-US"/>
        </w:rPr>
        <w:t xml:space="preserve"> another</w:t>
      </w:r>
      <w:r w:rsidR="003661DB">
        <w:rPr>
          <w:rFonts w:eastAsia="Arial"/>
          <w:b/>
          <w:bCs/>
          <w:lang w:val="en-US"/>
        </w:rPr>
        <w:t xml:space="preserve"> example </w:t>
      </w:r>
      <w:r>
        <w:rPr>
          <w:rFonts w:eastAsia="Arial"/>
          <w:b/>
          <w:bCs/>
          <w:lang w:val="en-US"/>
        </w:rPr>
        <w:t xml:space="preserve">case where the SDL band is separate from the FDD DL band and </w:t>
      </w:r>
      <w:r w:rsidR="001C5EF0">
        <w:rPr>
          <w:rFonts w:eastAsia="Arial"/>
          <w:b/>
          <w:bCs/>
          <w:lang w:val="en-US"/>
        </w:rPr>
        <w:t xml:space="preserve">the </w:t>
      </w:r>
      <w:r>
        <w:rPr>
          <w:rFonts w:eastAsia="Arial"/>
          <w:b/>
          <w:bCs/>
          <w:lang w:val="en-US"/>
        </w:rPr>
        <w:t>SDL/FDD DL filters are duplexed</w:t>
      </w:r>
    </w:p>
    <w:p w14:paraId="571C01DD" w14:textId="108E72E8" w:rsidR="009963D2" w:rsidRPr="003661DB" w:rsidRDefault="003661DB" w:rsidP="009963D2">
      <w:pPr>
        <w:pStyle w:val="ListParagraph"/>
        <w:numPr>
          <w:ilvl w:val="0"/>
          <w:numId w:val="75"/>
        </w:numPr>
        <w:spacing w:after="0"/>
        <w:ind w:firstLineChars="0"/>
        <w:rPr>
          <w:rFonts w:eastAsia="Arial"/>
          <w:b/>
          <w:bCs/>
          <w:lang w:val="en-US"/>
        </w:rPr>
      </w:pPr>
      <w:r w:rsidRPr="003661DB">
        <w:rPr>
          <w:rFonts w:eastAsia="Arial"/>
          <w:b/>
          <w:bCs/>
          <w:lang w:val="en-US"/>
        </w:rPr>
        <w:t>The n12</w:t>
      </w:r>
      <w:r>
        <w:rPr>
          <w:rFonts w:eastAsia="Arial"/>
          <w:b/>
          <w:bCs/>
          <w:lang w:val="en-US"/>
        </w:rPr>
        <w:t xml:space="preserve"> </w:t>
      </w:r>
      <w:r w:rsidRPr="003661DB">
        <w:rPr>
          <w:rFonts w:eastAsia="Arial"/>
          <w:b/>
          <w:bCs/>
          <w:lang w:val="en-US"/>
        </w:rPr>
        <w:t>DL+n29 filter and n28A</w:t>
      </w:r>
      <w:r>
        <w:rPr>
          <w:rFonts w:eastAsia="Arial"/>
          <w:b/>
          <w:bCs/>
          <w:lang w:val="en-US"/>
        </w:rPr>
        <w:t xml:space="preserve"> </w:t>
      </w:r>
      <w:r w:rsidRPr="003661DB">
        <w:rPr>
          <w:rFonts w:eastAsia="Arial"/>
          <w:b/>
          <w:bCs/>
          <w:lang w:val="en-US"/>
        </w:rPr>
        <w:t xml:space="preserve">DL+n67 </w:t>
      </w:r>
      <w:r>
        <w:rPr>
          <w:rFonts w:eastAsia="Arial"/>
          <w:b/>
          <w:bCs/>
          <w:lang w:val="en-US"/>
        </w:rPr>
        <w:t xml:space="preserve">combined </w:t>
      </w:r>
      <w:r w:rsidRPr="003661DB">
        <w:rPr>
          <w:rFonts w:eastAsia="Arial"/>
          <w:b/>
          <w:bCs/>
          <w:lang w:val="en-US"/>
        </w:rPr>
        <w:t>filters should be feasible</w:t>
      </w:r>
      <w:r>
        <w:rPr>
          <w:rFonts w:eastAsia="Arial"/>
          <w:b/>
          <w:bCs/>
          <w:lang w:val="en-US"/>
        </w:rPr>
        <w:t xml:space="preserve">. However, the </w:t>
      </w:r>
      <w:r w:rsidRPr="003661DB">
        <w:rPr>
          <w:rFonts w:eastAsia="Arial"/>
          <w:b/>
          <w:bCs/>
          <w:lang w:val="en-US"/>
        </w:rPr>
        <w:t>n28</w:t>
      </w:r>
      <w:r>
        <w:rPr>
          <w:rFonts w:eastAsia="Arial"/>
          <w:b/>
          <w:bCs/>
          <w:lang w:val="en-US"/>
        </w:rPr>
        <w:t xml:space="preserve">F </w:t>
      </w:r>
      <w:r w:rsidRPr="003661DB">
        <w:rPr>
          <w:rFonts w:eastAsia="Arial"/>
          <w:b/>
          <w:bCs/>
          <w:lang w:val="en-US"/>
        </w:rPr>
        <w:t xml:space="preserve">DL+n67 </w:t>
      </w:r>
      <w:r>
        <w:rPr>
          <w:rFonts w:eastAsia="Arial"/>
          <w:b/>
          <w:bCs/>
          <w:lang w:val="en-US"/>
        </w:rPr>
        <w:t xml:space="preserve">combined </w:t>
      </w:r>
      <w:r w:rsidRPr="003661DB">
        <w:rPr>
          <w:rFonts w:eastAsia="Arial"/>
          <w:b/>
          <w:bCs/>
          <w:lang w:val="en-US"/>
        </w:rPr>
        <w:t>filter</w:t>
      </w:r>
      <w:r>
        <w:rPr>
          <w:rFonts w:eastAsia="Arial"/>
          <w:b/>
          <w:bCs/>
          <w:lang w:val="en-US"/>
        </w:rPr>
        <w:t xml:space="preserve"> feasibility needs to be studied.</w:t>
      </w:r>
    </w:p>
    <w:p w14:paraId="3A1423CF" w14:textId="07F3AE2A" w:rsidR="006C0252" w:rsidRPr="00343AA7" w:rsidRDefault="006C0252" w:rsidP="003661DB">
      <w:pPr>
        <w:pStyle w:val="Heading1"/>
        <w:numPr>
          <w:ilvl w:val="0"/>
          <w:numId w:val="1"/>
        </w:numPr>
        <w:ind w:left="567" w:hanging="567"/>
      </w:pPr>
      <w:r>
        <w:t>Conclusion</w:t>
      </w:r>
    </w:p>
    <w:p w14:paraId="78DA50E5" w14:textId="552B0BBC" w:rsidR="00575A59" w:rsidRDefault="006C0252" w:rsidP="00CB68D4">
      <w:r w:rsidRPr="0018029D">
        <w:t>In</w:t>
      </w:r>
      <w:r w:rsidR="00A42874" w:rsidRPr="0018029D">
        <w:t xml:space="preserve"> this contribution,</w:t>
      </w:r>
      <w:r w:rsidR="008755DC">
        <w:t xml:space="preserve"> we provide our preliminary views on </w:t>
      </w:r>
      <w:r w:rsidR="003661DB">
        <w:t>the new Release 20 LBLB switching architecture and filters feasibility</w:t>
      </w:r>
      <w:r w:rsidR="00521684">
        <w:t>.</w:t>
      </w:r>
    </w:p>
    <w:p w14:paraId="5912BE7E" w14:textId="77777777" w:rsidR="009C0BE0" w:rsidRPr="009963D2" w:rsidRDefault="009C0BE0" w:rsidP="009C0BE0">
      <w:pPr>
        <w:spacing w:after="0"/>
        <w:rPr>
          <w:rFonts w:eastAsia="Arial"/>
          <w:b/>
          <w:bCs/>
          <w:lang w:val="en-US"/>
        </w:rPr>
      </w:pPr>
      <w:r w:rsidRPr="009963D2">
        <w:rPr>
          <w:rFonts w:eastAsia="Arial"/>
          <w:b/>
          <w:bCs/>
          <w:lang w:val="en-US"/>
        </w:rPr>
        <w:t>Proposal:</w:t>
      </w:r>
    </w:p>
    <w:p w14:paraId="3F22BB78" w14:textId="77777777" w:rsidR="009C0BE0" w:rsidRDefault="009C0BE0" w:rsidP="009C0BE0">
      <w:pPr>
        <w:pStyle w:val="ListParagraph"/>
        <w:numPr>
          <w:ilvl w:val="0"/>
          <w:numId w:val="75"/>
        </w:numPr>
        <w:spacing w:after="0"/>
        <w:ind w:firstLineChars="0"/>
        <w:rPr>
          <w:rFonts w:eastAsia="Arial"/>
          <w:b/>
          <w:bCs/>
          <w:lang w:val="en-US"/>
        </w:rPr>
      </w:pPr>
      <w:r w:rsidRPr="009963D2">
        <w:rPr>
          <w:rFonts w:eastAsia="Arial"/>
          <w:b/>
          <w:bCs/>
          <w:lang w:val="en-US"/>
        </w:rPr>
        <w:t>Requirements are developed based on a two-antenna architecture and a combined FDD DL+SDL filter</w:t>
      </w:r>
      <w:r>
        <w:rPr>
          <w:rFonts w:eastAsia="Arial"/>
          <w:b/>
          <w:bCs/>
          <w:lang w:val="en-US"/>
        </w:rPr>
        <w:t xml:space="preserve"> b</w:t>
      </w:r>
      <w:r w:rsidRPr="009963D2">
        <w:rPr>
          <w:rFonts w:eastAsia="Arial"/>
          <w:b/>
          <w:bCs/>
          <w:lang w:val="en-US"/>
        </w:rPr>
        <w:t>ased on example bands where the FDD DL and SDL bands are adjacent</w:t>
      </w:r>
      <w:r>
        <w:rPr>
          <w:rFonts w:eastAsia="Arial"/>
          <w:b/>
          <w:bCs/>
          <w:lang w:val="en-US"/>
        </w:rPr>
        <w:t>.</w:t>
      </w:r>
    </w:p>
    <w:p w14:paraId="327EC050" w14:textId="77777777" w:rsidR="009C0BE0" w:rsidRDefault="009C0BE0" w:rsidP="009C0BE0">
      <w:pPr>
        <w:pStyle w:val="ListParagraph"/>
        <w:numPr>
          <w:ilvl w:val="1"/>
          <w:numId w:val="75"/>
        </w:numPr>
        <w:spacing w:after="0"/>
        <w:ind w:firstLineChars="0"/>
        <w:rPr>
          <w:rFonts w:eastAsia="Arial"/>
          <w:b/>
          <w:bCs/>
          <w:lang w:val="en-US"/>
        </w:rPr>
      </w:pPr>
      <w:r>
        <w:rPr>
          <w:rFonts w:eastAsia="Arial"/>
          <w:b/>
          <w:bCs/>
          <w:lang w:val="en-US"/>
        </w:rPr>
        <w:t xml:space="preserve">The post LNA FDD DL and SDL band separation is not the not the default implementation and may also need to be considered in the requirements. </w:t>
      </w:r>
    </w:p>
    <w:p w14:paraId="43A48F1C" w14:textId="77777777" w:rsidR="009C0BE0" w:rsidRPr="009963D2" w:rsidRDefault="009C0BE0" w:rsidP="009C0BE0">
      <w:pPr>
        <w:pStyle w:val="ListParagraph"/>
        <w:numPr>
          <w:ilvl w:val="0"/>
          <w:numId w:val="75"/>
        </w:numPr>
        <w:spacing w:after="0"/>
        <w:ind w:firstLineChars="0"/>
        <w:rPr>
          <w:rFonts w:eastAsia="Arial"/>
          <w:b/>
          <w:bCs/>
          <w:lang w:val="en-US"/>
        </w:rPr>
      </w:pPr>
      <w:r>
        <w:rPr>
          <w:rFonts w:eastAsia="Arial"/>
          <w:b/>
          <w:bCs/>
          <w:lang w:val="en-US"/>
        </w:rPr>
        <w:t>For the feature to be applicable to other LBLB case, there may be a need to be another example case where the SDL band is separate from the FDD DL band and the SDL/FDD DL filters are duplexed</w:t>
      </w:r>
    </w:p>
    <w:p w14:paraId="0183A296" w14:textId="1B12FB0B" w:rsidR="003661DB" w:rsidRPr="003661DB" w:rsidRDefault="009C0BE0" w:rsidP="009C0BE0">
      <w:pPr>
        <w:pStyle w:val="ListParagraph"/>
        <w:numPr>
          <w:ilvl w:val="0"/>
          <w:numId w:val="75"/>
        </w:numPr>
        <w:spacing w:after="0"/>
        <w:ind w:firstLineChars="0"/>
        <w:rPr>
          <w:rFonts w:eastAsia="Arial"/>
          <w:b/>
          <w:bCs/>
          <w:lang w:val="en-US"/>
        </w:rPr>
      </w:pPr>
      <w:r w:rsidRPr="003661DB">
        <w:rPr>
          <w:rFonts w:eastAsia="Arial"/>
          <w:b/>
          <w:bCs/>
          <w:lang w:val="en-US"/>
        </w:rPr>
        <w:t>The n12</w:t>
      </w:r>
      <w:r>
        <w:rPr>
          <w:rFonts w:eastAsia="Arial"/>
          <w:b/>
          <w:bCs/>
          <w:lang w:val="en-US"/>
        </w:rPr>
        <w:t xml:space="preserve"> </w:t>
      </w:r>
      <w:r w:rsidRPr="003661DB">
        <w:rPr>
          <w:rFonts w:eastAsia="Arial"/>
          <w:b/>
          <w:bCs/>
          <w:lang w:val="en-US"/>
        </w:rPr>
        <w:t>DL+n29 filter and n28A</w:t>
      </w:r>
      <w:r>
        <w:rPr>
          <w:rFonts w:eastAsia="Arial"/>
          <w:b/>
          <w:bCs/>
          <w:lang w:val="en-US"/>
        </w:rPr>
        <w:t xml:space="preserve"> </w:t>
      </w:r>
      <w:r w:rsidRPr="003661DB">
        <w:rPr>
          <w:rFonts w:eastAsia="Arial"/>
          <w:b/>
          <w:bCs/>
          <w:lang w:val="en-US"/>
        </w:rPr>
        <w:t xml:space="preserve">DL+n67 </w:t>
      </w:r>
      <w:r>
        <w:rPr>
          <w:rFonts w:eastAsia="Arial"/>
          <w:b/>
          <w:bCs/>
          <w:lang w:val="en-US"/>
        </w:rPr>
        <w:t xml:space="preserve">combined </w:t>
      </w:r>
      <w:r w:rsidRPr="003661DB">
        <w:rPr>
          <w:rFonts w:eastAsia="Arial"/>
          <w:b/>
          <w:bCs/>
          <w:lang w:val="en-US"/>
        </w:rPr>
        <w:t>filters should be feasible</w:t>
      </w:r>
      <w:r>
        <w:rPr>
          <w:rFonts w:eastAsia="Arial"/>
          <w:b/>
          <w:bCs/>
          <w:lang w:val="en-US"/>
        </w:rPr>
        <w:t xml:space="preserve">. However, the </w:t>
      </w:r>
      <w:r w:rsidRPr="003661DB">
        <w:rPr>
          <w:rFonts w:eastAsia="Arial"/>
          <w:b/>
          <w:bCs/>
          <w:lang w:val="en-US"/>
        </w:rPr>
        <w:t>n28</w:t>
      </w:r>
      <w:r>
        <w:rPr>
          <w:rFonts w:eastAsia="Arial"/>
          <w:b/>
          <w:bCs/>
          <w:lang w:val="en-US"/>
        </w:rPr>
        <w:t xml:space="preserve">F </w:t>
      </w:r>
      <w:r w:rsidRPr="003661DB">
        <w:rPr>
          <w:rFonts w:eastAsia="Arial"/>
          <w:b/>
          <w:bCs/>
          <w:lang w:val="en-US"/>
        </w:rPr>
        <w:t xml:space="preserve">DL+n67 </w:t>
      </w:r>
      <w:r>
        <w:rPr>
          <w:rFonts w:eastAsia="Arial"/>
          <w:b/>
          <w:bCs/>
          <w:lang w:val="en-US"/>
        </w:rPr>
        <w:t xml:space="preserve">combined </w:t>
      </w:r>
      <w:r w:rsidRPr="003661DB">
        <w:rPr>
          <w:rFonts w:eastAsia="Arial"/>
          <w:b/>
          <w:bCs/>
          <w:lang w:val="en-US"/>
        </w:rPr>
        <w:t>filter</w:t>
      </w:r>
      <w:r>
        <w:rPr>
          <w:rFonts w:eastAsia="Arial"/>
          <w:b/>
          <w:bCs/>
          <w:lang w:val="en-US"/>
        </w:rPr>
        <w:t xml:space="preserve"> feasibility needs to be studied</w:t>
      </w:r>
      <w:r w:rsidR="003661DB">
        <w:rPr>
          <w:rFonts w:eastAsia="Arial"/>
          <w:b/>
          <w:bCs/>
          <w:lang w:val="en-US"/>
        </w:rPr>
        <w:t>.</w:t>
      </w:r>
    </w:p>
    <w:p w14:paraId="706A035B" w14:textId="1CCC2FE4" w:rsidR="00C05662" w:rsidRDefault="00F2750F" w:rsidP="00DA1597">
      <w:pPr>
        <w:pStyle w:val="Heading1"/>
        <w:numPr>
          <w:ilvl w:val="0"/>
          <w:numId w:val="1"/>
        </w:numPr>
        <w:ind w:left="567" w:hanging="567"/>
      </w:pPr>
      <w:r>
        <w:t>References</w:t>
      </w:r>
    </w:p>
    <w:p w14:paraId="5C417202" w14:textId="6DB272B3" w:rsidR="00181CE0" w:rsidRDefault="003979DC" w:rsidP="008764D0">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8722F8" w:rsidRPr="008722F8">
        <w:rPr>
          <w:lang w:val="en-US"/>
        </w:rPr>
        <w:t>RP-2529</w:t>
      </w:r>
      <w:r w:rsidR="00A504D2">
        <w:rPr>
          <w:lang w:val="en-US"/>
        </w:rPr>
        <w:t>53</w:t>
      </w:r>
      <w:r w:rsidR="008722F8">
        <w:rPr>
          <w:lang w:val="en-US"/>
        </w:rPr>
        <w:t xml:space="preserve"> </w:t>
      </w:r>
      <w:r w:rsidR="008722F8" w:rsidRPr="008722F8">
        <w:rPr>
          <w:lang w:val="en-US"/>
        </w:rPr>
        <w:t>New WID</w:t>
      </w:r>
      <w:r w:rsidR="00A504D2" w:rsidRPr="00A504D2">
        <w:t xml:space="preserve"> </w:t>
      </w:r>
      <w:r w:rsidR="00A504D2" w:rsidRPr="00A504D2">
        <w:rPr>
          <w:lang w:val="en-US"/>
        </w:rPr>
        <w:t>on enhancement of low NR band carrier aggregation via switching</w:t>
      </w:r>
      <w:r w:rsidR="00846195">
        <w:rPr>
          <w:lang w:val="en-US"/>
        </w:rPr>
        <w:t xml:space="preserve">, </w:t>
      </w:r>
      <w:r w:rsidR="00A504D2">
        <w:rPr>
          <w:lang w:val="en-US"/>
        </w:rPr>
        <w:t>Huawei</w:t>
      </w:r>
      <w:r w:rsidR="00181CE0" w:rsidRPr="00B61339">
        <w:t xml:space="preserve">, </w:t>
      </w:r>
      <w:r w:rsidR="00181CE0">
        <w:t>RAN#1</w:t>
      </w:r>
      <w:bookmarkEnd w:id="4"/>
      <w:r w:rsidR="008722F8">
        <w:t>09</w:t>
      </w:r>
    </w:p>
    <w:p w14:paraId="6BAF7CC4" w14:textId="16244151" w:rsidR="007B13FC" w:rsidRPr="00FD2221" w:rsidRDefault="007B13FC" w:rsidP="007E78D9">
      <w:pPr>
        <w:jc w:val="center"/>
        <w:rPr>
          <w:lang w:val="en-US"/>
        </w:rPr>
      </w:pPr>
    </w:p>
    <w:sectPr w:rsidR="007B13FC" w:rsidRPr="00FD2221"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8194" w14:textId="77777777" w:rsidR="00F037E5" w:rsidRPr="00A10429" w:rsidRDefault="00F037E5" w:rsidP="0064547A">
      <w:pPr>
        <w:spacing w:after="0"/>
        <w:rPr>
          <w:kern w:val="2"/>
          <w:lang w:eastAsia="zh-CN"/>
        </w:rPr>
      </w:pPr>
      <w:r>
        <w:separator/>
      </w:r>
    </w:p>
  </w:endnote>
  <w:endnote w:type="continuationSeparator" w:id="0">
    <w:p w14:paraId="51D13700" w14:textId="77777777" w:rsidR="00F037E5" w:rsidRPr="00A10429" w:rsidRDefault="00F037E5" w:rsidP="0064547A">
      <w:pPr>
        <w:spacing w:after="0"/>
        <w:rPr>
          <w:kern w:val="2"/>
          <w:lang w:eastAsia="zh-CN"/>
        </w:rPr>
      </w:pPr>
      <w:r>
        <w:continuationSeparator/>
      </w:r>
    </w:p>
  </w:endnote>
  <w:endnote w:type="continuationNotice" w:id="1">
    <w:p w14:paraId="138E068A" w14:textId="77777777" w:rsidR="00F037E5" w:rsidRDefault="00F03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B50D" w14:textId="77777777" w:rsidR="00F037E5" w:rsidRPr="00A10429" w:rsidRDefault="00F037E5" w:rsidP="0064547A">
      <w:pPr>
        <w:spacing w:after="0"/>
        <w:rPr>
          <w:kern w:val="2"/>
          <w:lang w:eastAsia="zh-CN"/>
        </w:rPr>
      </w:pPr>
      <w:r>
        <w:separator/>
      </w:r>
    </w:p>
  </w:footnote>
  <w:footnote w:type="continuationSeparator" w:id="0">
    <w:p w14:paraId="7313F804" w14:textId="77777777" w:rsidR="00F037E5" w:rsidRPr="00A10429" w:rsidRDefault="00F037E5" w:rsidP="0064547A">
      <w:pPr>
        <w:spacing w:after="0"/>
        <w:rPr>
          <w:kern w:val="2"/>
          <w:lang w:eastAsia="zh-CN"/>
        </w:rPr>
      </w:pPr>
      <w:r>
        <w:continuationSeparator/>
      </w:r>
    </w:p>
  </w:footnote>
  <w:footnote w:type="continuationNotice" w:id="1">
    <w:p w14:paraId="10E655FF" w14:textId="77777777" w:rsidR="00F037E5" w:rsidRDefault="00F03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560D46"/>
    <w:multiLevelType w:val="hybridMultilevel"/>
    <w:tmpl w:val="523E8A48"/>
    <w:lvl w:ilvl="0" w:tplc="4498F4FE">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FA297B"/>
    <w:multiLevelType w:val="hybridMultilevel"/>
    <w:tmpl w:val="098C8A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9"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D452D7"/>
    <w:multiLevelType w:val="hybridMultilevel"/>
    <w:tmpl w:val="7F148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4"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D572B"/>
    <w:multiLevelType w:val="hybridMultilevel"/>
    <w:tmpl w:val="61EE8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7"/>
  </w:num>
  <w:num w:numId="2" w16cid:durableId="1298339486">
    <w:abstractNumId w:val="13"/>
  </w:num>
  <w:num w:numId="3" w16cid:durableId="730156007">
    <w:abstractNumId w:val="26"/>
  </w:num>
  <w:num w:numId="4" w16cid:durableId="317660584">
    <w:abstractNumId w:val="22"/>
  </w:num>
  <w:num w:numId="5" w16cid:durableId="1858304697">
    <w:abstractNumId w:val="68"/>
  </w:num>
  <w:num w:numId="6" w16cid:durableId="2105563181">
    <w:abstractNumId w:val="11"/>
  </w:num>
  <w:num w:numId="7" w16cid:durableId="633097245">
    <w:abstractNumId w:val="42"/>
  </w:num>
  <w:num w:numId="8" w16cid:durableId="1163470918">
    <w:abstractNumId w:val="32"/>
  </w:num>
  <w:num w:numId="9" w16cid:durableId="255214559">
    <w:abstractNumId w:val="60"/>
  </w:num>
  <w:num w:numId="10" w16cid:durableId="1775591434">
    <w:abstractNumId w:val="69"/>
  </w:num>
  <w:num w:numId="11" w16cid:durableId="1690718188">
    <w:abstractNumId w:val="71"/>
  </w:num>
  <w:num w:numId="12" w16cid:durableId="1051925366">
    <w:abstractNumId w:val="35"/>
  </w:num>
  <w:num w:numId="13" w16cid:durableId="1741057929">
    <w:abstractNumId w:val="38"/>
  </w:num>
  <w:num w:numId="14" w16cid:durableId="232856064">
    <w:abstractNumId w:val="29"/>
  </w:num>
  <w:num w:numId="15" w16cid:durableId="224609546">
    <w:abstractNumId w:val="57"/>
  </w:num>
  <w:num w:numId="16" w16cid:durableId="1767651071">
    <w:abstractNumId w:val="0"/>
  </w:num>
  <w:num w:numId="17" w16cid:durableId="220364000">
    <w:abstractNumId w:val="59"/>
  </w:num>
  <w:num w:numId="18" w16cid:durableId="1462066297">
    <w:abstractNumId w:val="15"/>
  </w:num>
  <w:num w:numId="19" w16cid:durableId="799766590">
    <w:abstractNumId w:val="4"/>
  </w:num>
  <w:num w:numId="20" w16cid:durableId="1479571757">
    <w:abstractNumId w:val="58"/>
  </w:num>
  <w:num w:numId="21" w16cid:durableId="409159420">
    <w:abstractNumId w:val="43"/>
  </w:num>
  <w:num w:numId="22" w16cid:durableId="691032568">
    <w:abstractNumId w:val="39"/>
    <w:lvlOverride w:ilvl="0">
      <w:startOverride w:val="1"/>
    </w:lvlOverride>
  </w:num>
  <w:num w:numId="23" w16cid:durableId="1262377704">
    <w:abstractNumId w:val="44"/>
    <w:lvlOverride w:ilvl="0">
      <w:startOverride w:val="1"/>
    </w:lvlOverride>
  </w:num>
  <w:num w:numId="24" w16cid:durableId="1573616781">
    <w:abstractNumId w:val="67"/>
  </w:num>
  <w:num w:numId="25" w16cid:durableId="1062295999">
    <w:abstractNumId w:val="50"/>
  </w:num>
  <w:num w:numId="26" w16cid:durableId="1066412708">
    <w:abstractNumId w:val="7"/>
  </w:num>
  <w:num w:numId="27" w16cid:durableId="368074488">
    <w:abstractNumId w:val="19"/>
  </w:num>
  <w:num w:numId="28" w16cid:durableId="498738340">
    <w:abstractNumId w:val="46"/>
  </w:num>
  <w:num w:numId="29" w16cid:durableId="1246961137">
    <w:abstractNumId w:val="70"/>
  </w:num>
  <w:num w:numId="30" w16cid:durableId="1318267566">
    <w:abstractNumId w:val="9"/>
  </w:num>
  <w:num w:numId="31" w16cid:durableId="771434582">
    <w:abstractNumId w:val="16"/>
  </w:num>
  <w:num w:numId="32" w16cid:durableId="1842163360">
    <w:abstractNumId w:val="52"/>
  </w:num>
  <w:num w:numId="33" w16cid:durableId="857155421">
    <w:abstractNumId w:val="45"/>
  </w:num>
  <w:num w:numId="34" w16cid:durableId="900095594">
    <w:abstractNumId w:val="40"/>
  </w:num>
  <w:num w:numId="35" w16cid:durableId="906190281">
    <w:abstractNumId w:val="25"/>
  </w:num>
  <w:num w:numId="36" w16cid:durableId="1461067969">
    <w:abstractNumId w:val="33"/>
  </w:num>
  <w:num w:numId="37" w16cid:durableId="844173242">
    <w:abstractNumId w:val="10"/>
  </w:num>
  <w:num w:numId="38" w16cid:durableId="1478954604">
    <w:abstractNumId w:val="63"/>
  </w:num>
  <w:num w:numId="39" w16cid:durableId="1901406501">
    <w:abstractNumId w:val="34"/>
  </w:num>
  <w:num w:numId="40" w16cid:durableId="475880348">
    <w:abstractNumId w:val="23"/>
  </w:num>
  <w:num w:numId="41" w16cid:durableId="1151825122">
    <w:abstractNumId w:val="37"/>
  </w:num>
  <w:num w:numId="42" w16cid:durableId="1292784708">
    <w:abstractNumId w:val="1"/>
  </w:num>
  <w:num w:numId="43" w16cid:durableId="1251424056">
    <w:abstractNumId w:val="14"/>
  </w:num>
  <w:num w:numId="44" w16cid:durableId="545217238">
    <w:abstractNumId w:val="48"/>
  </w:num>
  <w:num w:numId="45" w16cid:durableId="1204945119">
    <w:abstractNumId w:val="3"/>
  </w:num>
  <w:num w:numId="46" w16cid:durableId="988752637">
    <w:abstractNumId w:val="55"/>
  </w:num>
  <w:num w:numId="47" w16cid:durableId="424807210">
    <w:abstractNumId w:val="64"/>
  </w:num>
  <w:num w:numId="48" w16cid:durableId="1882282193">
    <w:abstractNumId w:val="12"/>
  </w:num>
  <w:num w:numId="49" w16cid:durableId="1809125452">
    <w:abstractNumId w:val="53"/>
  </w:num>
  <w:num w:numId="50" w16cid:durableId="1669021397">
    <w:abstractNumId w:val="36"/>
  </w:num>
  <w:num w:numId="51" w16cid:durableId="549534811">
    <w:abstractNumId w:val="20"/>
  </w:num>
  <w:num w:numId="52" w16cid:durableId="1589340779">
    <w:abstractNumId w:val="66"/>
  </w:num>
  <w:num w:numId="53" w16cid:durableId="780952858">
    <w:abstractNumId w:val="48"/>
  </w:num>
  <w:num w:numId="54" w16cid:durableId="1207181925">
    <w:abstractNumId w:val="21"/>
  </w:num>
  <w:num w:numId="55" w16cid:durableId="1896432598">
    <w:abstractNumId w:val="24"/>
  </w:num>
  <w:num w:numId="56" w16cid:durableId="1159149043">
    <w:abstractNumId w:val="51"/>
  </w:num>
  <w:num w:numId="57" w16cid:durableId="1993438038">
    <w:abstractNumId w:val="2"/>
  </w:num>
  <w:num w:numId="58" w16cid:durableId="2053074902">
    <w:abstractNumId w:val="27"/>
  </w:num>
  <w:num w:numId="59" w16cid:durableId="714350569">
    <w:abstractNumId w:val="62"/>
  </w:num>
  <w:num w:numId="60" w16cid:durableId="1595894000">
    <w:abstractNumId w:val="72"/>
  </w:num>
  <w:num w:numId="61" w16cid:durableId="816919959">
    <w:abstractNumId w:val="8"/>
  </w:num>
  <w:num w:numId="62" w16cid:durableId="1602565847">
    <w:abstractNumId w:val="18"/>
  </w:num>
  <w:num w:numId="63" w16cid:durableId="1278832365">
    <w:abstractNumId w:val="47"/>
  </w:num>
  <w:num w:numId="64" w16cid:durableId="198903651">
    <w:abstractNumId w:val="6"/>
  </w:num>
  <w:num w:numId="65" w16cid:durableId="70931534">
    <w:abstractNumId w:val="54"/>
  </w:num>
  <w:num w:numId="66" w16cid:durableId="1544096000">
    <w:abstractNumId w:val="65"/>
  </w:num>
  <w:num w:numId="67" w16cid:durableId="2088645150">
    <w:abstractNumId w:val="49"/>
  </w:num>
  <w:num w:numId="68" w16cid:durableId="2067416129">
    <w:abstractNumId w:val="5"/>
  </w:num>
  <w:num w:numId="69" w16cid:durableId="192155783">
    <w:abstractNumId w:val="30"/>
  </w:num>
  <w:num w:numId="70" w16cid:durableId="1564410949">
    <w:abstractNumId w:val="56"/>
  </w:num>
  <w:num w:numId="71" w16cid:durableId="368185680">
    <w:abstractNumId w:val="41"/>
  </w:num>
  <w:num w:numId="72" w16cid:durableId="647633108">
    <w:abstractNumId w:val="31"/>
  </w:num>
  <w:num w:numId="73" w16cid:durableId="429161723">
    <w:abstractNumId w:val="61"/>
  </w:num>
  <w:num w:numId="74" w16cid:durableId="94594715">
    <w:abstractNumId w:val="28"/>
  </w:num>
  <w:num w:numId="75" w16cid:durableId="1332640916">
    <w:abstractNumId w:val="7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56E"/>
    <w:rsid w:val="000A49A8"/>
    <w:rsid w:val="000A4B29"/>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9E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3CA7"/>
    <w:rsid w:val="001148F6"/>
    <w:rsid w:val="00114FA5"/>
    <w:rsid w:val="001155AC"/>
    <w:rsid w:val="00116A2D"/>
    <w:rsid w:val="00116D97"/>
    <w:rsid w:val="0011722B"/>
    <w:rsid w:val="001208B7"/>
    <w:rsid w:val="00120DF3"/>
    <w:rsid w:val="0012169C"/>
    <w:rsid w:val="001219F6"/>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43"/>
    <w:rsid w:val="00190C0F"/>
    <w:rsid w:val="00190D3D"/>
    <w:rsid w:val="00190E7F"/>
    <w:rsid w:val="00192071"/>
    <w:rsid w:val="00192AB7"/>
    <w:rsid w:val="00193B74"/>
    <w:rsid w:val="0019591E"/>
    <w:rsid w:val="00195CCF"/>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550D"/>
    <w:rsid w:val="001C59D2"/>
    <w:rsid w:val="001C5C14"/>
    <w:rsid w:val="001C5EF0"/>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262"/>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02"/>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A12"/>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45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A1E"/>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777"/>
    <w:rsid w:val="00365A05"/>
    <w:rsid w:val="003661DB"/>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3A5"/>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714"/>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178"/>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B"/>
    <w:rsid w:val="004B32D9"/>
    <w:rsid w:val="004B39CD"/>
    <w:rsid w:val="004B3A83"/>
    <w:rsid w:val="004B5AD2"/>
    <w:rsid w:val="004B7343"/>
    <w:rsid w:val="004C0260"/>
    <w:rsid w:val="004C0607"/>
    <w:rsid w:val="004C0E72"/>
    <w:rsid w:val="004C1005"/>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28"/>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136"/>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1C0"/>
    <w:rsid w:val="005969C8"/>
    <w:rsid w:val="00596FF9"/>
    <w:rsid w:val="0059793D"/>
    <w:rsid w:val="00597A82"/>
    <w:rsid w:val="00597B46"/>
    <w:rsid w:val="005A0ABB"/>
    <w:rsid w:val="005A1049"/>
    <w:rsid w:val="005A152C"/>
    <w:rsid w:val="005A3C2D"/>
    <w:rsid w:val="005A3FCD"/>
    <w:rsid w:val="005A409A"/>
    <w:rsid w:val="005A40B7"/>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981"/>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5E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A0C"/>
    <w:rsid w:val="00685C2D"/>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2F8"/>
    <w:rsid w:val="008733B1"/>
    <w:rsid w:val="00874248"/>
    <w:rsid w:val="00874436"/>
    <w:rsid w:val="0087449B"/>
    <w:rsid w:val="0087520A"/>
    <w:rsid w:val="00875336"/>
    <w:rsid w:val="008755DC"/>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37EC"/>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7FA"/>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4FFF"/>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9B2"/>
    <w:rsid w:val="00993FA6"/>
    <w:rsid w:val="00994002"/>
    <w:rsid w:val="00994CDC"/>
    <w:rsid w:val="00995A15"/>
    <w:rsid w:val="009963D2"/>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880"/>
    <w:rsid w:val="009B3A6F"/>
    <w:rsid w:val="009B3D08"/>
    <w:rsid w:val="009B3E95"/>
    <w:rsid w:val="009B439D"/>
    <w:rsid w:val="009B4599"/>
    <w:rsid w:val="009B4678"/>
    <w:rsid w:val="009B4709"/>
    <w:rsid w:val="009B4AC5"/>
    <w:rsid w:val="009B6933"/>
    <w:rsid w:val="009B6BA5"/>
    <w:rsid w:val="009B6C2F"/>
    <w:rsid w:val="009B7152"/>
    <w:rsid w:val="009C0B8F"/>
    <w:rsid w:val="009C0BE0"/>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D74CA"/>
    <w:rsid w:val="009E0BCF"/>
    <w:rsid w:val="009E1C4B"/>
    <w:rsid w:val="009E1CBC"/>
    <w:rsid w:val="009E1EBC"/>
    <w:rsid w:val="009E2B24"/>
    <w:rsid w:val="009E3857"/>
    <w:rsid w:val="009E4088"/>
    <w:rsid w:val="009E5F59"/>
    <w:rsid w:val="009E628C"/>
    <w:rsid w:val="009E6778"/>
    <w:rsid w:val="009E75B5"/>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1BBD"/>
    <w:rsid w:val="00A42874"/>
    <w:rsid w:val="00A42EFB"/>
    <w:rsid w:val="00A43862"/>
    <w:rsid w:val="00A43B77"/>
    <w:rsid w:val="00A4462F"/>
    <w:rsid w:val="00A456A1"/>
    <w:rsid w:val="00A45AB2"/>
    <w:rsid w:val="00A45DBB"/>
    <w:rsid w:val="00A47CF4"/>
    <w:rsid w:val="00A504D2"/>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52E4"/>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750"/>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408"/>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5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36D"/>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624"/>
    <w:rsid w:val="00F03784"/>
    <w:rsid w:val="00F037E5"/>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E7F01"/>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23681757">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1655836">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6874656">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01819060">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48661472">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2025-10-02T14:39:00Z</dcterms:created>
  <dcterms:modified xsi:type="dcterms:W3CDTF">2025-10-03T19:41:00Z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